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Default="00161123">
      <w:pPr>
        <w:pStyle w:val="a7"/>
        <w:rPr>
          <w:rFonts w:ascii="新細明體" w:hAnsi="新細明體"/>
          <w:color w:val="FF6600"/>
        </w:rPr>
      </w:pPr>
    </w:p>
    <w:p w:rsidR="00161123" w:rsidRDefault="001F4C92">
      <w:pPr>
        <w:pStyle w:val="a7"/>
        <w:rPr>
          <w:rFonts w:ascii="新細明體" w:hAnsi="新細明體"/>
          <w:color w:val="FF6600"/>
        </w:rPr>
      </w:pPr>
      <w:r w:rsidRPr="001F4C92">
        <w:rPr>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DA75FC" w:rsidRPr="00DA75FC" w:rsidRDefault="00DA75F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3A1E34" w:rsidRPr="001F4C92">
        <w:rPr>
          <w:rFonts w:ascii="新細明體" w:hAnsi="新細明體"/>
          <w:color w:val="FF6600"/>
        </w:rPr>
        <w:pict>
          <v:shape id="_x0000_i1025" type="#_x0000_t75" style="width:482.25pt;height:55.5pt">
            <v:imagedata r:id="rId8" o:title="visual_06"/>
          </v:shape>
        </w:pict>
      </w:r>
    </w:p>
    <w:p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資料由</w:t>
      </w:r>
      <w:r w:rsidR="007D3F16">
        <w:rPr>
          <w:rFonts w:hint="eastAsia"/>
          <w:b/>
          <w:bCs/>
          <w:color w:val="0000FF"/>
          <w:szCs w:val="20"/>
        </w:rPr>
        <w:t>應用奈米醫材科技股份有限</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，資料若有錯誤、遺漏或虛偽不實，均由該公司</w:t>
      </w:r>
      <w:r w:rsidR="00BF2B97" w:rsidRPr="00BF2B97">
        <w:rPr>
          <w:rFonts w:hint="eastAsia"/>
          <w:b/>
          <w:bCs/>
          <w:color w:val="FF0000"/>
          <w:szCs w:val="20"/>
          <w:u w:val="single"/>
          <w:shd w:val="pct15" w:color="auto" w:fill="FFFFFF"/>
        </w:rPr>
        <w:t>及其推薦證券商</w:t>
      </w:r>
      <w:r>
        <w:rPr>
          <w:b/>
          <w:bCs/>
          <w:color w:val="0000FF"/>
          <w:szCs w:val="20"/>
        </w:rPr>
        <w:t>負責。</w:t>
      </w:r>
    </w:p>
    <w:p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以下揭露之認購價格及依據等資訊，係申請登錄興櫃公司與其推薦證券商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動，投資人切勿以上開資訊作為投資判斷之唯一依據，務請特別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161123" w:rsidRDefault="001F4C92">
      <w:pPr>
        <w:tabs>
          <w:tab w:val="left" w:pos="1125"/>
        </w:tabs>
        <w:rPr>
          <w:rFonts w:ascii="新細明體" w:hAnsi="新細明體"/>
          <w:b/>
          <w:bCs/>
          <w:color w:val="FF6600"/>
          <w:sz w:val="20"/>
          <w:szCs w:val="20"/>
        </w:rPr>
      </w:pPr>
      <w:r w:rsidRPr="001F4C92">
        <w:rPr>
          <w:rFonts w:ascii="新細明體" w:hAnsi="新細明體"/>
          <w:b/>
          <w:bCs/>
          <w:noProof/>
          <w:color w:val="FF6600"/>
        </w:rPr>
        <w:pict>
          <v:shape id="_x0000_s1089" type="#_x0000_t202" style="position:absolute;margin-left:0;margin-top:13.85pt;width:480.75pt;height:97.5pt;z-index:-14" fillcolor="#fffbed" stroked="f">
            <v:textbox style="mso-next-textbox:#_x0000_s1089">
              <w:txbxContent>
                <w:p w:rsidR="00161123" w:rsidRDefault="0016112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161123" w:rsidRPr="00BF2B97" w:rsidRDefault="001F4C92">
      <w:pPr>
        <w:rPr>
          <w:rFonts w:ascii="新細明體" w:hAnsi="新細明體"/>
          <w:b/>
          <w:bCs/>
          <w:color w:val="FF0000"/>
          <w:sz w:val="20"/>
          <w:szCs w:val="20"/>
          <w:shd w:val="pct15" w:color="auto" w:fill="FFFFFF"/>
        </w:rPr>
      </w:pPr>
      <w:bookmarkStart w:id="0" w:name="第一頁"/>
      <w:bookmarkEnd w:id="0"/>
      <w:r w:rsidRPr="001F4C92">
        <w:rPr>
          <w:noProof/>
          <w:color w:val="FF6600"/>
        </w:rPr>
        <w:pict>
          <v:shape id="_x0000_s1114" type="#_x0000_t75" style="position:absolute;margin-left:0;margin-top:3.55pt;width:12pt;height:11.5pt;z-index:-11" o:bullet="t">
            <v:imagedata r:id="rId9" o:title="icon_page_title"/>
          </v:shape>
        </w:pict>
      </w:r>
      <w:r w:rsidRPr="001F4C92">
        <w:rPr>
          <w:rFonts w:ascii="新細明體" w:hAnsi="新細明體"/>
          <w:b/>
          <w:bCs/>
          <w:noProof/>
          <w:color w:val="FF6600"/>
          <w:sz w:val="20"/>
          <w:szCs w:val="20"/>
        </w:rPr>
        <w:pict>
          <v:shape id="_x0000_s1115" type="#_x0000_t75" style="position:absolute;margin-left:0;margin-top:3.55pt;width:12pt;height:11.5pt;z-index:-10" o:bullet="t">
            <v:imagedata r:id="rId10" o:title="icon_page_title"/>
          </v:shape>
        </w:pict>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rsidR="00BF2B97" w:rsidRDefault="001F4C92">
      <w:pPr>
        <w:rPr>
          <w:rFonts w:ascii="新細明體" w:hAnsi="新細明體"/>
          <w:b/>
          <w:bCs/>
          <w:color w:val="FF6600"/>
          <w:sz w:val="20"/>
          <w:szCs w:val="20"/>
        </w:rPr>
      </w:pPr>
      <w:r>
        <w:rPr>
          <w:rFonts w:ascii="新細明體" w:hAnsi="新細明體"/>
          <w:b/>
          <w:bCs/>
          <w:noProof/>
          <w:color w:val="FF6600"/>
          <w:sz w:val="20"/>
          <w:szCs w:val="20"/>
        </w:rPr>
        <w:pict>
          <v:shape id="_x0000_s1116" type="#_x0000_t75" style="position:absolute;margin-left:0;margin-top:3.55pt;width:12pt;height:11.5pt;z-index:-9" o:bullet="t">
            <v:imagedata r:id="rId11" o:title="icon_page_title"/>
          </v:shape>
        </w:pict>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1F4C92">
      <w:pPr>
        <w:rPr>
          <w:rFonts w:ascii="新細明體" w:hAnsi="新細明體"/>
          <w:b/>
          <w:bCs/>
          <w:color w:val="FF6600"/>
          <w:sz w:val="20"/>
          <w:szCs w:val="20"/>
        </w:rPr>
      </w:pPr>
      <w:r>
        <w:rPr>
          <w:rFonts w:ascii="新細明體" w:hAnsi="新細明體"/>
          <w:b/>
          <w:bCs/>
          <w:noProof/>
          <w:color w:val="FF6600"/>
          <w:sz w:val="20"/>
          <w:szCs w:val="20"/>
        </w:rPr>
        <w:pict>
          <v:shape id="_x0000_s1151" type="#_x0000_t75" style="position:absolute;margin-left:0;margin-top:3.55pt;width:12pt;height:11.5pt;z-index:-2" o:bullet="t">
            <v:imagedata r:id="rId12" o:title="icon_page_title"/>
          </v:shape>
        </w:pict>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1F4C92">
      <w:pPr>
        <w:rPr>
          <w:rFonts w:ascii="新細明體" w:hAnsi="新細明體"/>
          <w:b/>
          <w:bCs/>
          <w:color w:val="FF6600"/>
          <w:sz w:val="20"/>
          <w:szCs w:val="20"/>
        </w:rPr>
      </w:pPr>
      <w:r>
        <w:rPr>
          <w:rFonts w:ascii="新細明體" w:hAnsi="新細明體"/>
          <w:b/>
          <w:bCs/>
          <w:noProof/>
          <w:color w:val="FF6600"/>
          <w:sz w:val="20"/>
          <w:szCs w:val="20"/>
        </w:rPr>
        <w:pict>
          <v:shape id="_x0000_s1117" type="#_x0000_t75" style="position:absolute;margin-left:0;margin-top:3.55pt;width:12pt;height:11.5pt;z-index:-8" o:bullet="t">
            <v:imagedata r:id="rId13" o:title="icon_page_title"/>
          </v:shape>
        </w:pict>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最近五年度簡明損益表及申請年度截至最近月份止之自結損益表</w:t>
        </w:r>
      </w:hyperlink>
    </w:p>
    <w:p w:rsidR="00161123" w:rsidRDefault="001F4C92">
      <w:pPr>
        <w:rPr>
          <w:rFonts w:ascii="新細明體" w:hAnsi="新細明體"/>
          <w:b/>
          <w:bCs/>
          <w:color w:val="FF6600"/>
          <w:sz w:val="20"/>
          <w:szCs w:val="20"/>
        </w:rPr>
      </w:pPr>
      <w:r>
        <w:rPr>
          <w:rFonts w:ascii="新細明體" w:hAnsi="新細明體"/>
          <w:b/>
          <w:bCs/>
          <w:noProof/>
          <w:color w:val="FF6600"/>
          <w:sz w:val="20"/>
          <w:szCs w:val="20"/>
        </w:rPr>
        <w:pict>
          <v:shape id="_x0000_s1119" type="#_x0000_t75" style="position:absolute;margin-left:0;margin-top:3.35pt;width:12pt;height:11.5pt;z-index:-6" o:bullet="t">
            <v:imagedata r:id="rId14" o:title="icon_page_title"/>
          </v:shape>
        </w:pict>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最近五年度簡明資產負債表</w:t>
        </w:r>
      </w:hyperlink>
    </w:p>
    <w:p w:rsidR="00161123" w:rsidRDefault="001F4C92">
      <w:pPr>
        <w:rPr>
          <w:rFonts w:hint="eastAsia"/>
        </w:rPr>
      </w:pPr>
      <w:r w:rsidRPr="001F4C92">
        <w:rPr>
          <w:rFonts w:ascii="新細明體" w:hAnsi="新細明體"/>
          <w:b/>
          <w:bCs/>
          <w:noProof/>
          <w:color w:val="FF6600"/>
          <w:sz w:val="20"/>
          <w:szCs w:val="20"/>
        </w:rPr>
        <w:pict>
          <v:shape id="_x0000_s1120" type="#_x0000_t75" style="position:absolute;margin-left:0;margin-top:3.35pt;width:12pt;height:11.5pt;z-index:-5" o:bullet="t">
            <v:imagedata r:id="rId15" o:title="icon_page_title"/>
          </v:shape>
        </w:pict>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最近三年度財務比率</w:t>
        </w:r>
      </w:hyperlink>
    </w:p>
    <w:p w:rsidR="003A1E34" w:rsidRDefault="003A1E34">
      <w:pPr>
        <w:rPr>
          <w:rFonts w:ascii="新細明體" w:hAnsi="新細明體"/>
          <w:b/>
          <w:bCs/>
          <w:color w:val="FF6600"/>
          <w:sz w:val="20"/>
        </w:rPr>
      </w:pPr>
    </w:p>
    <w:p w:rsidR="00161123" w:rsidRDefault="00161123">
      <w:pPr>
        <w:rPr>
          <w:rFonts w:ascii="新細明體" w:hAnsi="新細明體" w:hint="eastAsia"/>
          <w:b/>
          <w:bCs/>
          <w:sz w:val="20"/>
        </w:rPr>
      </w:pPr>
      <w:r>
        <w:rPr>
          <w:rFonts w:ascii="新細明體" w:hAnsi="新細明體"/>
          <w:b/>
          <w:bCs/>
          <w:sz w:val="20"/>
        </w:rPr>
        <w:t>公司名稱：</w:t>
      </w:r>
      <w:r w:rsidR="007D3F16">
        <w:rPr>
          <w:rFonts w:ascii="新細明體" w:hAnsi="新細明體" w:hint="eastAsia"/>
          <w:b/>
          <w:bCs/>
          <w:color w:val="FF6600"/>
          <w:sz w:val="20"/>
        </w:rPr>
        <w:t>應用奈米醫材科技</w:t>
      </w:r>
      <w:r>
        <w:rPr>
          <w:rFonts w:ascii="新細明體" w:hAnsi="新細明體" w:hint="eastAsia"/>
          <w:b/>
          <w:bCs/>
          <w:color w:val="FF6600"/>
          <w:sz w:val="20"/>
        </w:rPr>
        <w:t>股份有限公司</w:t>
      </w:r>
      <w:r>
        <w:rPr>
          <w:rFonts w:ascii="新細明體" w:hAnsi="新細明體" w:hint="eastAsia"/>
          <w:b/>
          <w:bCs/>
          <w:sz w:val="20"/>
        </w:rPr>
        <w:t xml:space="preserve"> (股票代號：</w:t>
      </w:r>
      <w:r w:rsidR="007D3F16">
        <w:rPr>
          <w:rFonts w:ascii="新細明體" w:hAnsi="新細明體" w:hint="eastAsia"/>
          <w:b/>
          <w:bCs/>
          <w:sz w:val="20"/>
        </w:rPr>
        <w:t>6612</w:t>
      </w:r>
      <w:r>
        <w:rPr>
          <w:rFonts w:ascii="新細明體" w:hAnsi="新細明體" w:hint="eastAsia"/>
          <w:b/>
          <w:bCs/>
          <w:sz w:val="20"/>
        </w:rPr>
        <w:t xml:space="preserve"> )</w:t>
      </w:r>
    </w:p>
    <w:p w:rsidR="003A1E34" w:rsidRDefault="003A1E34">
      <w:pPr>
        <w:rPr>
          <w:rFonts w:ascii="新細明體" w:hAnsi="新細明體"/>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2"/>
        <w:gridCol w:w="6846"/>
      </w:tblGrid>
      <w:tr w:rsidR="00BB79D6" w:rsidTr="00BB79D6">
        <w:trPr>
          <w:cantSplit/>
        </w:trPr>
        <w:tc>
          <w:tcPr>
            <w:tcW w:w="2722" w:type="dxa"/>
            <w:shd w:val="clear" w:color="auto" w:fill="F9F9F9"/>
          </w:tcPr>
          <w:p w:rsidR="00BB79D6" w:rsidRPr="00BB79D6" w:rsidRDefault="00BB79D6">
            <w:pPr>
              <w:rPr>
                <w:rFonts w:eastAsia="標楷體" w:hAnsi="標楷體"/>
                <w:kern w:val="0"/>
              </w:rPr>
            </w:pPr>
            <w:bookmarkStart w:id="1" w:name="基本資料"/>
            <w:bookmarkEnd w:id="1"/>
            <w:r w:rsidRPr="00BB79D6">
              <w:rPr>
                <w:rFonts w:eastAsia="標楷體" w:hAnsi="標楷體"/>
                <w:kern w:val="0"/>
              </w:rPr>
              <w:t>輔導推薦證券商</w:t>
            </w:r>
          </w:p>
        </w:tc>
        <w:tc>
          <w:tcPr>
            <w:tcW w:w="6846" w:type="dxa"/>
          </w:tcPr>
          <w:p w:rsidR="00BB79D6" w:rsidRPr="00BB79D6" w:rsidRDefault="00BB79D6" w:rsidP="00D208AD">
            <w:pPr>
              <w:rPr>
                <w:rFonts w:eastAsia="標楷體" w:hAnsi="標楷體"/>
                <w:kern w:val="0"/>
              </w:rPr>
            </w:pPr>
            <w:r w:rsidRPr="00A85B10">
              <w:rPr>
                <w:rFonts w:eastAsia="標楷體" w:hAnsi="標楷體"/>
                <w:kern w:val="0"/>
              </w:rPr>
              <w:t>兆豐證券股份有限公司、凱基證券股份有限公司</w:t>
            </w:r>
          </w:p>
        </w:tc>
      </w:tr>
      <w:tr w:rsidR="00BB79D6" w:rsidTr="00BB79D6">
        <w:trPr>
          <w:cantSplit/>
        </w:trPr>
        <w:tc>
          <w:tcPr>
            <w:tcW w:w="2722" w:type="dxa"/>
            <w:shd w:val="clear" w:color="auto" w:fill="F9F9F9"/>
          </w:tcPr>
          <w:p w:rsidR="00BB79D6" w:rsidRPr="00BB79D6" w:rsidRDefault="00BB79D6" w:rsidP="00385C47">
            <w:pPr>
              <w:rPr>
                <w:rFonts w:eastAsia="標楷體" w:hAnsi="標楷體"/>
                <w:kern w:val="0"/>
              </w:rPr>
            </w:pPr>
            <w:r w:rsidRPr="00BB79D6">
              <w:rPr>
                <w:rFonts w:eastAsia="標楷體" w:hAnsi="標楷體" w:hint="eastAsia"/>
                <w:kern w:val="0"/>
              </w:rPr>
              <w:t>主辦輔導券商聯絡人電話</w:t>
            </w:r>
          </w:p>
        </w:tc>
        <w:tc>
          <w:tcPr>
            <w:tcW w:w="6846" w:type="dxa"/>
          </w:tcPr>
          <w:p w:rsidR="00BB79D6" w:rsidRPr="00BB79D6" w:rsidRDefault="00BB79D6" w:rsidP="00D208AD">
            <w:pPr>
              <w:rPr>
                <w:rFonts w:eastAsia="標楷體" w:hAnsi="標楷體"/>
                <w:kern w:val="0"/>
              </w:rPr>
            </w:pPr>
            <w:r w:rsidRPr="00A85B10">
              <w:rPr>
                <w:rFonts w:eastAsia="標楷體" w:hAnsi="標楷體"/>
                <w:kern w:val="0"/>
              </w:rPr>
              <w:t>兆豐證券股份有限公司</w:t>
            </w:r>
            <w:r w:rsidRPr="00BB79D6">
              <w:rPr>
                <w:rFonts w:eastAsia="標楷體" w:hAnsi="標楷體"/>
                <w:kern w:val="0"/>
              </w:rPr>
              <w:t xml:space="preserve"> </w:t>
            </w:r>
            <w:r w:rsidRPr="00BB79D6">
              <w:rPr>
                <w:rFonts w:eastAsia="標楷體" w:hAnsi="標楷體"/>
                <w:kern w:val="0"/>
              </w:rPr>
              <w:t>林佳仟</w:t>
            </w:r>
            <w:r w:rsidRPr="00BB79D6">
              <w:rPr>
                <w:rFonts w:eastAsia="標楷體" w:hAnsi="標楷體"/>
                <w:kern w:val="0"/>
              </w:rPr>
              <w:t xml:space="preserve"> (03)666-2898</w:t>
            </w:r>
            <w:r w:rsidRPr="00BB79D6">
              <w:rPr>
                <w:rFonts w:eastAsia="標楷體" w:hAnsi="標楷體"/>
                <w:kern w:val="0"/>
              </w:rPr>
              <w:t>分機</w:t>
            </w:r>
            <w:r w:rsidRPr="00BB79D6">
              <w:rPr>
                <w:rFonts w:eastAsia="標楷體" w:hAnsi="標楷體"/>
                <w:kern w:val="0"/>
              </w:rPr>
              <w:t>307</w:t>
            </w:r>
          </w:p>
        </w:tc>
      </w:tr>
      <w:tr w:rsidR="00161123" w:rsidTr="00BB79D6">
        <w:trPr>
          <w:cantSplit/>
        </w:trPr>
        <w:tc>
          <w:tcPr>
            <w:tcW w:w="2722" w:type="dxa"/>
            <w:shd w:val="clear" w:color="auto" w:fill="F9F9F9"/>
          </w:tcPr>
          <w:p w:rsidR="00161123" w:rsidRPr="00BB79D6" w:rsidRDefault="00161123">
            <w:pPr>
              <w:rPr>
                <w:rFonts w:eastAsia="標楷體" w:hAnsi="標楷體"/>
                <w:kern w:val="0"/>
              </w:rPr>
            </w:pPr>
            <w:r w:rsidRPr="00BB79D6">
              <w:rPr>
                <w:rFonts w:eastAsia="標楷體" w:hAnsi="標楷體"/>
                <w:kern w:val="0"/>
              </w:rPr>
              <w:t>註冊地國</w:t>
            </w:r>
          </w:p>
        </w:tc>
        <w:tc>
          <w:tcPr>
            <w:tcW w:w="6846" w:type="dxa"/>
          </w:tcPr>
          <w:p w:rsidR="00161123" w:rsidRPr="00BB79D6" w:rsidRDefault="00161123">
            <w:pPr>
              <w:rPr>
                <w:rFonts w:eastAsia="標楷體" w:hAnsi="標楷體"/>
                <w:kern w:val="0"/>
              </w:rPr>
            </w:pPr>
            <w:r w:rsidRPr="00BB79D6">
              <w:rPr>
                <w:rFonts w:eastAsia="標楷體" w:hAnsi="標楷體"/>
                <w:kern w:val="0"/>
              </w:rPr>
              <w:t>(</w:t>
            </w:r>
            <w:r w:rsidRPr="00BB79D6">
              <w:rPr>
                <w:rFonts w:eastAsia="標楷體" w:hAnsi="標楷體"/>
                <w:kern w:val="0"/>
              </w:rPr>
              <w:t>外國發行人適用</w:t>
            </w:r>
            <w:r w:rsidRPr="00BB79D6">
              <w:rPr>
                <w:rFonts w:eastAsia="標楷體" w:hAnsi="標楷體"/>
                <w:kern w:val="0"/>
              </w:rPr>
              <w:t>)</w:t>
            </w:r>
          </w:p>
        </w:tc>
      </w:tr>
      <w:tr w:rsidR="00161123" w:rsidTr="00BB79D6">
        <w:trPr>
          <w:cantSplit/>
        </w:trPr>
        <w:tc>
          <w:tcPr>
            <w:tcW w:w="2722" w:type="dxa"/>
            <w:shd w:val="clear" w:color="auto" w:fill="F9F9F9"/>
          </w:tcPr>
          <w:p w:rsidR="00161123" w:rsidRPr="00BB79D6" w:rsidRDefault="00161123">
            <w:pPr>
              <w:rPr>
                <w:rFonts w:eastAsia="標楷體" w:hAnsi="標楷體"/>
                <w:kern w:val="0"/>
              </w:rPr>
            </w:pPr>
            <w:r w:rsidRPr="00BB79D6">
              <w:rPr>
                <w:rFonts w:eastAsia="標楷體" w:hAnsi="標楷體"/>
                <w:kern w:val="0"/>
              </w:rPr>
              <w:t>訴訟及非訟代理人</w:t>
            </w:r>
          </w:p>
        </w:tc>
        <w:tc>
          <w:tcPr>
            <w:tcW w:w="6846" w:type="dxa"/>
          </w:tcPr>
          <w:p w:rsidR="00161123" w:rsidRPr="00BB79D6" w:rsidRDefault="00161123">
            <w:pPr>
              <w:rPr>
                <w:rFonts w:eastAsia="標楷體" w:hAnsi="標楷體"/>
                <w:kern w:val="0"/>
              </w:rPr>
            </w:pPr>
            <w:r w:rsidRPr="00BB79D6">
              <w:rPr>
                <w:rFonts w:eastAsia="標楷體" w:hAnsi="標楷體"/>
                <w:kern w:val="0"/>
              </w:rPr>
              <w:t>(</w:t>
            </w:r>
            <w:r w:rsidRPr="00BB79D6">
              <w:rPr>
                <w:rFonts w:eastAsia="標楷體" w:hAnsi="標楷體"/>
                <w:kern w:val="0"/>
              </w:rPr>
              <w:t>外國發行人適用</w:t>
            </w:r>
            <w:r w:rsidRPr="00BB79D6">
              <w:rPr>
                <w:rFonts w:eastAsia="標楷體" w:hAnsi="標楷體"/>
                <w:kern w:val="0"/>
              </w:rPr>
              <w:t>)</w:t>
            </w:r>
          </w:p>
        </w:tc>
      </w:tr>
    </w:tbl>
    <w:p w:rsidR="00161123"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691"/>
        <w:gridCol w:w="4169"/>
      </w:tblGrid>
      <w:tr w:rsidR="00BB79D6" w:rsidRPr="00F23D95" w:rsidTr="00D208AD">
        <w:tc>
          <w:tcPr>
            <w:tcW w:w="9498" w:type="dxa"/>
            <w:gridSpan w:val="3"/>
            <w:shd w:val="clear" w:color="auto" w:fill="auto"/>
          </w:tcPr>
          <w:p w:rsidR="00BB79D6" w:rsidRPr="00F23D95" w:rsidRDefault="00BB79D6" w:rsidP="00D208AD">
            <w:pPr>
              <w:jc w:val="center"/>
              <w:rPr>
                <w:rFonts w:ascii="新細明體" w:hAnsi="新細明體"/>
                <w:color w:val="FF0000"/>
                <w:u w:val="single"/>
                <w:shd w:val="pct15" w:color="auto" w:fill="FFFFFF"/>
              </w:rPr>
            </w:pPr>
            <w:r w:rsidRPr="00D723E6">
              <w:rPr>
                <w:rFonts w:eastAsia="標楷體" w:hAnsi="標楷體" w:hint="eastAsia"/>
                <w:kern w:val="0"/>
              </w:rPr>
              <w:t>輔導</w:t>
            </w:r>
            <w:r w:rsidRPr="00D723E6">
              <w:rPr>
                <w:rFonts w:eastAsia="標楷體" w:hAnsi="標楷體"/>
                <w:kern w:val="0"/>
              </w:rPr>
              <w:t>推薦證券商認購</w:t>
            </w:r>
            <w:r w:rsidRPr="00D723E6">
              <w:rPr>
                <w:rFonts w:eastAsia="標楷體" w:hAnsi="標楷體" w:hint="eastAsia"/>
                <w:kern w:val="0"/>
              </w:rPr>
              <w:t>應用奈米醫材科技股份有限公司</w:t>
            </w:r>
            <w:r w:rsidRPr="00D723E6">
              <w:rPr>
                <w:rFonts w:eastAsia="標楷體" w:hAnsi="標楷體"/>
                <w:kern w:val="0"/>
              </w:rPr>
              <w:t>股票之</w:t>
            </w:r>
            <w:r w:rsidRPr="00D723E6">
              <w:rPr>
                <w:rFonts w:eastAsia="標楷體" w:hAnsi="標楷體" w:hint="eastAsia"/>
                <w:kern w:val="0"/>
              </w:rPr>
              <w:t>相關資訊</w:t>
            </w:r>
          </w:p>
        </w:tc>
      </w:tr>
      <w:tr w:rsidR="00BB79D6" w:rsidRPr="00F23D95" w:rsidTr="00D208AD">
        <w:tc>
          <w:tcPr>
            <w:tcW w:w="1843" w:type="dxa"/>
            <w:vMerge w:val="restart"/>
            <w:shd w:val="clear" w:color="auto" w:fill="auto"/>
            <w:vAlign w:val="center"/>
          </w:tcPr>
          <w:p w:rsidR="00BB79D6" w:rsidRPr="002006B8" w:rsidRDefault="00BB79D6" w:rsidP="00D208AD">
            <w:pPr>
              <w:jc w:val="center"/>
              <w:rPr>
                <w:rFonts w:eastAsia="標楷體" w:hAnsi="標楷體"/>
                <w:kern w:val="0"/>
              </w:rPr>
            </w:pPr>
            <w:r w:rsidRPr="002006B8">
              <w:rPr>
                <w:rFonts w:eastAsia="標楷體" w:hAnsi="標楷體" w:hint="eastAsia"/>
                <w:kern w:val="0"/>
              </w:rPr>
              <w:t>證券商名稱</w:t>
            </w:r>
          </w:p>
        </w:tc>
        <w:tc>
          <w:tcPr>
            <w:tcW w:w="3516" w:type="dxa"/>
            <w:shd w:val="clear" w:color="auto" w:fill="auto"/>
          </w:tcPr>
          <w:p w:rsidR="00BB79D6" w:rsidRPr="00C465D8" w:rsidRDefault="00BB79D6" w:rsidP="00D208AD">
            <w:pPr>
              <w:jc w:val="center"/>
              <w:rPr>
                <w:rFonts w:eastAsia="標楷體" w:hAnsi="標楷體"/>
                <w:kern w:val="0"/>
              </w:rPr>
            </w:pPr>
            <w:r w:rsidRPr="00C465D8">
              <w:rPr>
                <w:rFonts w:eastAsia="標楷體" w:hAnsi="標楷體" w:hint="eastAsia"/>
                <w:kern w:val="0"/>
              </w:rPr>
              <w:t>主辦</w:t>
            </w:r>
          </w:p>
        </w:tc>
        <w:tc>
          <w:tcPr>
            <w:tcW w:w="4139" w:type="dxa"/>
            <w:shd w:val="clear" w:color="auto" w:fill="auto"/>
          </w:tcPr>
          <w:p w:rsidR="00BB79D6" w:rsidRPr="00C465D8" w:rsidRDefault="00BB79D6" w:rsidP="00D208AD">
            <w:pPr>
              <w:jc w:val="center"/>
              <w:rPr>
                <w:rFonts w:eastAsia="標楷體" w:hAnsi="標楷體"/>
                <w:kern w:val="0"/>
              </w:rPr>
            </w:pPr>
            <w:r w:rsidRPr="00C465D8">
              <w:rPr>
                <w:rFonts w:eastAsia="標楷體" w:hAnsi="標楷體" w:hint="eastAsia"/>
                <w:kern w:val="0"/>
              </w:rPr>
              <w:t>協辦</w:t>
            </w:r>
          </w:p>
        </w:tc>
      </w:tr>
      <w:tr w:rsidR="00BB79D6" w:rsidRPr="00F23D95" w:rsidTr="00D208AD">
        <w:tc>
          <w:tcPr>
            <w:tcW w:w="1843" w:type="dxa"/>
            <w:vMerge/>
            <w:shd w:val="clear" w:color="auto" w:fill="auto"/>
          </w:tcPr>
          <w:p w:rsidR="00BB79D6" w:rsidRPr="002006B8" w:rsidRDefault="00BB79D6" w:rsidP="00D208AD">
            <w:pPr>
              <w:jc w:val="center"/>
              <w:rPr>
                <w:rFonts w:eastAsia="標楷體" w:hAnsi="標楷體"/>
                <w:kern w:val="0"/>
              </w:rPr>
            </w:pPr>
          </w:p>
        </w:tc>
        <w:tc>
          <w:tcPr>
            <w:tcW w:w="3516" w:type="dxa"/>
            <w:shd w:val="clear" w:color="auto" w:fill="auto"/>
          </w:tcPr>
          <w:p w:rsidR="00BB79D6" w:rsidRPr="00F23D95" w:rsidRDefault="00BB79D6" w:rsidP="00D208AD">
            <w:pPr>
              <w:jc w:val="center"/>
              <w:rPr>
                <w:rFonts w:ascii="新細明體" w:hAnsi="新細明體"/>
                <w:color w:val="FF0000"/>
                <w:u w:val="single"/>
                <w:shd w:val="pct15" w:color="auto" w:fill="FFFFFF"/>
              </w:rPr>
            </w:pPr>
            <w:r w:rsidRPr="00A85B10">
              <w:rPr>
                <w:rFonts w:eastAsia="標楷體" w:hAnsi="標楷體"/>
                <w:kern w:val="0"/>
              </w:rPr>
              <w:t>兆豐證券股份有限公司</w:t>
            </w:r>
          </w:p>
        </w:tc>
        <w:tc>
          <w:tcPr>
            <w:tcW w:w="4139" w:type="dxa"/>
            <w:shd w:val="clear" w:color="auto" w:fill="auto"/>
          </w:tcPr>
          <w:p w:rsidR="00BB79D6" w:rsidRPr="00F23D95" w:rsidRDefault="00BB79D6" w:rsidP="00D208AD">
            <w:pPr>
              <w:jc w:val="center"/>
              <w:rPr>
                <w:rFonts w:ascii="新細明體" w:hAnsi="新細明體"/>
                <w:color w:val="FF0000"/>
                <w:u w:val="single"/>
                <w:shd w:val="pct15" w:color="auto" w:fill="FFFFFF"/>
              </w:rPr>
            </w:pPr>
            <w:r w:rsidRPr="00A85B10">
              <w:rPr>
                <w:rFonts w:eastAsia="標楷體" w:hAnsi="標楷體"/>
                <w:kern w:val="0"/>
              </w:rPr>
              <w:t>凱基證券股份有限公司</w:t>
            </w:r>
          </w:p>
        </w:tc>
      </w:tr>
      <w:tr w:rsidR="00BB79D6" w:rsidRPr="00F23D95" w:rsidTr="00D208AD">
        <w:tc>
          <w:tcPr>
            <w:tcW w:w="1843" w:type="dxa"/>
            <w:shd w:val="clear" w:color="auto" w:fill="auto"/>
          </w:tcPr>
          <w:p w:rsidR="00BB79D6" w:rsidRPr="002006B8" w:rsidRDefault="00BB79D6" w:rsidP="00D208AD">
            <w:pPr>
              <w:jc w:val="center"/>
              <w:rPr>
                <w:rFonts w:eastAsia="標楷體" w:hAnsi="標楷體"/>
                <w:kern w:val="0"/>
              </w:rPr>
            </w:pPr>
            <w:r w:rsidRPr="002006B8">
              <w:rPr>
                <w:rFonts w:eastAsia="標楷體" w:hAnsi="標楷體" w:hint="eastAsia"/>
                <w:kern w:val="0"/>
              </w:rPr>
              <w:t>認購日期</w:t>
            </w:r>
          </w:p>
        </w:tc>
        <w:tc>
          <w:tcPr>
            <w:tcW w:w="7655" w:type="dxa"/>
            <w:gridSpan w:val="2"/>
            <w:shd w:val="clear" w:color="auto" w:fill="auto"/>
          </w:tcPr>
          <w:p w:rsidR="00BB79D6" w:rsidRPr="00F23D95" w:rsidRDefault="00BB79D6" w:rsidP="00D208AD">
            <w:pPr>
              <w:jc w:val="center"/>
              <w:rPr>
                <w:rFonts w:ascii="新細明體" w:hAnsi="新細明體"/>
                <w:color w:val="FF0000"/>
                <w:u w:val="single"/>
                <w:shd w:val="pct15" w:color="auto" w:fill="FFFFFF"/>
              </w:rPr>
            </w:pPr>
            <w:r w:rsidRPr="00BC3489">
              <w:rPr>
                <w:rFonts w:eastAsia="標楷體" w:hAnsi="標楷體" w:hint="eastAsia"/>
                <w:kern w:val="0"/>
              </w:rPr>
              <w:t>105</w:t>
            </w:r>
            <w:r w:rsidRPr="00BC3489">
              <w:rPr>
                <w:rFonts w:eastAsia="標楷體" w:hAnsi="標楷體" w:hint="eastAsia"/>
                <w:kern w:val="0"/>
              </w:rPr>
              <w:t>年</w:t>
            </w:r>
            <w:r w:rsidRPr="00BC3489">
              <w:rPr>
                <w:rFonts w:eastAsia="標楷體" w:hAnsi="標楷體" w:hint="eastAsia"/>
                <w:kern w:val="0"/>
              </w:rPr>
              <w:t>12</w:t>
            </w:r>
            <w:r w:rsidRPr="00BC3489">
              <w:rPr>
                <w:rFonts w:eastAsia="標楷體" w:hAnsi="標楷體" w:hint="eastAsia"/>
                <w:kern w:val="0"/>
              </w:rPr>
              <w:t>月</w:t>
            </w:r>
            <w:r w:rsidRPr="00BC3489">
              <w:rPr>
                <w:rFonts w:eastAsia="標楷體" w:hAnsi="標楷體" w:hint="eastAsia"/>
                <w:kern w:val="0"/>
              </w:rPr>
              <w:t>21</w:t>
            </w:r>
            <w:r w:rsidRPr="00BC3489">
              <w:rPr>
                <w:rFonts w:eastAsia="標楷體" w:hAnsi="標楷體" w:hint="eastAsia"/>
                <w:kern w:val="0"/>
              </w:rPr>
              <w:t>日</w:t>
            </w:r>
          </w:p>
        </w:tc>
      </w:tr>
      <w:tr w:rsidR="00BB79D6" w:rsidRPr="00F23D95" w:rsidTr="00D208AD">
        <w:tc>
          <w:tcPr>
            <w:tcW w:w="1843" w:type="dxa"/>
            <w:shd w:val="clear" w:color="auto" w:fill="auto"/>
          </w:tcPr>
          <w:p w:rsidR="00BB79D6" w:rsidRPr="002006B8" w:rsidRDefault="00BB79D6" w:rsidP="00D208AD">
            <w:pPr>
              <w:ind w:rightChars="-12" w:right="-29"/>
              <w:jc w:val="center"/>
              <w:rPr>
                <w:rFonts w:eastAsia="標楷體" w:hAnsi="標楷體"/>
                <w:kern w:val="0"/>
              </w:rPr>
            </w:pPr>
            <w:r w:rsidRPr="002006B8">
              <w:rPr>
                <w:rFonts w:eastAsia="標楷體" w:hAnsi="標楷體" w:hint="eastAsia"/>
                <w:kern w:val="0"/>
              </w:rPr>
              <w:t>認購股數（股）</w:t>
            </w:r>
          </w:p>
        </w:tc>
        <w:tc>
          <w:tcPr>
            <w:tcW w:w="3516" w:type="dxa"/>
            <w:shd w:val="clear" w:color="auto" w:fill="auto"/>
          </w:tcPr>
          <w:p w:rsidR="00BB79D6" w:rsidRPr="00F36693" w:rsidRDefault="00BB79D6" w:rsidP="00D208AD">
            <w:pPr>
              <w:jc w:val="center"/>
              <w:rPr>
                <w:rFonts w:eastAsia="標楷體"/>
              </w:rPr>
            </w:pPr>
            <w:r>
              <w:rPr>
                <w:rFonts w:eastAsia="標楷體" w:hint="eastAsia"/>
              </w:rPr>
              <w:t>8</w:t>
            </w:r>
            <w:r w:rsidRPr="00F36693">
              <w:rPr>
                <w:rFonts w:eastAsia="標楷體" w:hint="eastAsia"/>
              </w:rPr>
              <w:t>00</w:t>
            </w:r>
            <w:r>
              <w:rPr>
                <w:rFonts w:eastAsia="標楷體" w:hint="eastAsia"/>
              </w:rPr>
              <w:t>,000</w:t>
            </w:r>
          </w:p>
        </w:tc>
        <w:tc>
          <w:tcPr>
            <w:tcW w:w="4139" w:type="dxa"/>
            <w:shd w:val="clear" w:color="auto" w:fill="auto"/>
          </w:tcPr>
          <w:p w:rsidR="00BB79D6" w:rsidRDefault="00BB79D6" w:rsidP="00D208AD">
            <w:pPr>
              <w:jc w:val="center"/>
            </w:pPr>
            <w:r>
              <w:rPr>
                <w:rFonts w:eastAsia="標楷體" w:hint="eastAsia"/>
              </w:rPr>
              <w:t>100,</w:t>
            </w:r>
            <w:r w:rsidRPr="00F36693">
              <w:rPr>
                <w:rFonts w:eastAsia="標楷體" w:hint="eastAsia"/>
              </w:rPr>
              <w:t>000</w:t>
            </w:r>
          </w:p>
        </w:tc>
      </w:tr>
      <w:tr w:rsidR="00BB79D6" w:rsidRPr="00F23D95" w:rsidTr="00D208AD">
        <w:tc>
          <w:tcPr>
            <w:tcW w:w="1843" w:type="dxa"/>
            <w:shd w:val="clear" w:color="auto" w:fill="auto"/>
          </w:tcPr>
          <w:p w:rsidR="00BB79D6" w:rsidRPr="002006B8" w:rsidRDefault="00BB79D6" w:rsidP="00D208AD">
            <w:pPr>
              <w:jc w:val="center"/>
              <w:rPr>
                <w:rFonts w:eastAsia="標楷體" w:hAnsi="標楷體"/>
                <w:kern w:val="0"/>
              </w:rPr>
            </w:pPr>
            <w:r w:rsidRPr="002006B8">
              <w:rPr>
                <w:rFonts w:eastAsia="標楷體" w:hAnsi="標楷體" w:hint="eastAsia"/>
                <w:kern w:val="0"/>
              </w:rPr>
              <w:t>認購占擬櫃檯買賣股份總數之比率</w:t>
            </w:r>
          </w:p>
        </w:tc>
        <w:tc>
          <w:tcPr>
            <w:tcW w:w="3516" w:type="dxa"/>
            <w:shd w:val="clear" w:color="auto" w:fill="auto"/>
            <w:vAlign w:val="center"/>
          </w:tcPr>
          <w:p w:rsidR="00BB79D6" w:rsidRPr="002006B8" w:rsidRDefault="00BB79D6" w:rsidP="00D208AD">
            <w:pPr>
              <w:jc w:val="center"/>
              <w:rPr>
                <w:rFonts w:eastAsia="標楷體"/>
              </w:rPr>
            </w:pPr>
            <w:r w:rsidRPr="002006B8">
              <w:rPr>
                <w:rFonts w:eastAsia="標楷體"/>
              </w:rPr>
              <w:t>2.67%</w:t>
            </w:r>
          </w:p>
        </w:tc>
        <w:tc>
          <w:tcPr>
            <w:tcW w:w="4139" w:type="dxa"/>
            <w:shd w:val="clear" w:color="auto" w:fill="auto"/>
            <w:vAlign w:val="center"/>
          </w:tcPr>
          <w:p w:rsidR="00BB79D6" w:rsidRPr="002006B8" w:rsidRDefault="00BB79D6" w:rsidP="00D208AD">
            <w:pPr>
              <w:jc w:val="center"/>
              <w:rPr>
                <w:rFonts w:eastAsia="標楷體"/>
              </w:rPr>
            </w:pPr>
            <w:r w:rsidRPr="002006B8">
              <w:rPr>
                <w:rFonts w:eastAsia="標楷體"/>
              </w:rPr>
              <w:t>0.33%</w:t>
            </w:r>
          </w:p>
        </w:tc>
      </w:tr>
      <w:tr w:rsidR="00BB79D6" w:rsidRPr="00F23D95" w:rsidTr="00D208AD">
        <w:tc>
          <w:tcPr>
            <w:tcW w:w="1843" w:type="dxa"/>
            <w:shd w:val="clear" w:color="auto" w:fill="auto"/>
          </w:tcPr>
          <w:p w:rsidR="00BB79D6" w:rsidRPr="002006B8" w:rsidRDefault="00BB79D6" w:rsidP="00D208AD">
            <w:pPr>
              <w:jc w:val="center"/>
              <w:rPr>
                <w:rFonts w:eastAsia="標楷體" w:hAnsi="標楷體"/>
                <w:kern w:val="0"/>
              </w:rPr>
            </w:pPr>
            <w:r w:rsidRPr="002006B8">
              <w:rPr>
                <w:rFonts w:eastAsia="標楷體" w:hAnsi="標楷體" w:hint="eastAsia"/>
                <w:kern w:val="0"/>
              </w:rPr>
              <w:t>認購價格</w:t>
            </w:r>
          </w:p>
        </w:tc>
        <w:tc>
          <w:tcPr>
            <w:tcW w:w="7655" w:type="dxa"/>
            <w:gridSpan w:val="2"/>
            <w:shd w:val="clear" w:color="auto" w:fill="auto"/>
          </w:tcPr>
          <w:p w:rsidR="00BB79D6" w:rsidRPr="00F23D95" w:rsidRDefault="00BB79D6" w:rsidP="00D208AD">
            <w:pPr>
              <w:jc w:val="center"/>
              <w:rPr>
                <w:rFonts w:ascii="新細明體" w:hAnsi="新細明體"/>
                <w:color w:val="FF0000"/>
                <w:u w:val="single"/>
                <w:shd w:val="pct15" w:color="auto" w:fill="FFFFFF"/>
              </w:rPr>
            </w:pPr>
            <w:r w:rsidRPr="00C67A13">
              <w:rPr>
                <w:rFonts w:eastAsia="標楷體"/>
              </w:rPr>
              <w:t>每股新台幣</w:t>
            </w:r>
            <w:r>
              <w:rPr>
                <w:rFonts w:eastAsia="標楷體" w:hint="eastAsia"/>
              </w:rPr>
              <w:t>47</w:t>
            </w:r>
            <w:r w:rsidRPr="00C67A13">
              <w:rPr>
                <w:rFonts w:eastAsia="標楷體"/>
              </w:rPr>
              <w:t>元</w:t>
            </w:r>
          </w:p>
        </w:tc>
      </w:tr>
      <w:tr w:rsidR="00BB79D6" w:rsidRPr="00F23D95" w:rsidTr="00D208AD">
        <w:tc>
          <w:tcPr>
            <w:tcW w:w="1843" w:type="dxa"/>
            <w:shd w:val="clear" w:color="auto" w:fill="auto"/>
            <w:vAlign w:val="center"/>
          </w:tcPr>
          <w:p w:rsidR="00BB79D6" w:rsidRPr="002006B8" w:rsidRDefault="00BB79D6" w:rsidP="00D208AD">
            <w:pPr>
              <w:jc w:val="center"/>
              <w:rPr>
                <w:rFonts w:eastAsia="標楷體" w:hAnsi="標楷體"/>
                <w:kern w:val="0"/>
              </w:rPr>
            </w:pPr>
            <w:r w:rsidRPr="002006B8">
              <w:rPr>
                <w:rFonts w:eastAsia="標楷體" w:hAnsi="標楷體" w:hint="eastAsia"/>
                <w:kern w:val="0"/>
              </w:rPr>
              <w:t>認購價格之訂定</w:t>
            </w:r>
          </w:p>
          <w:p w:rsidR="00BB79D6" w:rsidRPr="00F23D95" w:rsidRDefault="00BB79D6" w:rsidP="00D208AD">
            <w:pPr>
              <w:jc w:val="center"/>
              <w:rPr>
                <w:rFonts w:ascii="新細明體" w:hAnsi="新細明體"/>
                <w:color w:val="FF0000"/>
                <w:u w:val="single"/>
                <w:shd w:val="pct15" w:color="auto" w:fill="FFFFFF"/>
              </w:rPr>
            </w:pPr>
            <w:r w:rsidRPr="002006B8">
              <w:rPr>
                <w:rFonts w:eastAsia="標楷體" w:hAnsi="標楷體" w:hint="eastAsia"/>
                <w:kern w:val="0"/>
              </w:rPr>
              <w:t>依據</w:t>
            </w:r>
            <w:r w:rsidRPr="002006B8">
              <w:rPr>
                <w:rFonts w:eastAsia="標楷體" w:hAnsi="標楷體"/>
                <w:kern w:val="0"/>
              </w:rPr>
              <w:t>及方式</w:t>
            </w:r>
          </w:p>
        </w:tc>
        <w:tc>
          <w:tcPr>
            <w:tcW w:w="7655" w:type="dxa"/>
            <w:gridSpan w:val="2"/>
            <w:shd w:val="clear" w:color="auto" w:fill="auto"/>
          </w:tcPr>
          <w:p w:rsidR="00BB79D6" w:rsidRPr="003F6804" w:rsidRDefault="00BB79D6" w:rsidP="003A1E34">
            <w:pPr>
              <w:spacing w:beforeLines="50"/>
              <w:ind w:firstLineChars="205" w:firstLine="492"/>
              <w:jc w:val="both"/>
              <w:rPr>
                <w:rFonts w:ascii="Book Antiqua" w:eastAsia="標楷體" w:hAnsi="Book Antiqua"/>
              </w:rPr>
            </w:pPr>
            <w:r w:rsidRPr="003F6804">
              <w:rPr>
                <w:rFonts w:ascii="Book Antiqua" w:eastAsia="標楷體" w:hAnsi="Book Antiqua"/>
              </w:rPr>
              <w:t>本推薦證券商依一般市場認購價格訂定方式，參考市價法、成本法及現金流量折現法等方式，以推算合理之承銷價格，</w:t>
            </w:r>
            <w:r w:rsidRPr="003F6804">
              <w:rPr>
                <w:rFonts w:ascii="Book Antiqua" w:eastAsia="標楷體" w:hAnsi="Book Antiqua" w:hint="eastAsia"/>
              </w:rPr>
              <w:t>作</w:t>
            </w:r>
            <w:r w:rsidRPr="003F6804">
              <w:rPr>
                <w:rFonts w:ascii="Book Antiqua" w:eastAsia="標楷體" w:hAnsi="Book Antiqua"/>
              </w:rPr>
              <w:t>為該公司辦理股票興櫃登錄之參考價格訂定依據；再參酌該公司之所處產業、經營績效、發行市場環境及同業之市場狀況等因素後，由本推薦證券商與該公司共同議定之。</w:t>
            </w:r>
          </w:p>
          <w:p w:rsidR="00BB79D6" w:rsidRPr="003F6804" w:rsidRDefault="00BB79D6" w:rsidP="003A1E34">
            <w:pPr>
              <w:spacing w:beforeLines="50"/>
              <w:ind w:firstLineChars="205" w:firstLine="492"/>
              <w:jc w:val="both"/>
              <w:rPr>
                <w:rFonts w:ascii="Book Antiqua" w:eastAsia="標楷體" w:hAnsi="Book Antiqua"/>
              </w:rPr>
            </w:pPr>
            <w:r w:rsidRPr="003F6804">
              <w:rPr>
                <w:rFonts w:ascii="Book Antiqua" w:eastAsia="標楷體" w:hAnsi="Book Antiqua"/>
              </w:rPr>
              <w:t>股票價值的評價方法包含市價法如本益比法、股價淨値比法及成本法、現金流量折現法等，其中成本法係以歷史成本為計算之依據，忽略通</w:t>
            </w:r>
            <w:r w:rsidRPr="003F6804">
              <w:rPr>
                <w:rFonts w:ascii="Book Antiqua" w:eastAsia="標楷體" w:hAnsi="Book Antiqua"/>
              </w:rPr>
              <w:lastRenderedPageBreak/>
              <w:t>貨膨脹因素且無法表達目前真正之經濟貢獻值，故國際上採成本法評估企業價值者並不多見；另現金流量折現法下某些假設，如未來營收成長率、邊際利潤率、資本支出之假設等，因較難取得適切之數據，使未來現金流量及加權平均資金成本更無法精確掌握，故本次輔導推薦證券商認購</w:t>
            </w:r>
            <w:r>
              <w:rPr>
                <w:rFonts w:ascii="Book Antiqua" w:eastAsia="標楷體" w:hAnsi="Book Antiqua" w:hint="eastAsia"/>
              </w:rPr>
              <w:t>奈米醫材公司</w:t>
            </w:r>
            <w:r w:rsidRPr="003F6804">
              <w:rPr>
                <w:rFonts w:ascii="Book Antiqua" w:eastAsia="標楷體" w:hAnsi="Book Antiqua"/>
              </w:rPr>
              <w:t>係以本益比法進行評估。</w:t>
            </w:r>
          </w:p>
          <w:p w:rsidR="00BB79D6" w:rsidRPr="001C1C43" w:rsidRDefault="00BB79D6" w:rsidP="003A1E34">
            <w:pPr>
              <w:spacing w:beforeLines="50"/>
              <w:ind w:firstLineChars="205" w:firstLine="492"/>
              <w:jc w:val="both"/>
              <w:rPr>
                <w:rFonts w:eastAsia="標楷體"/>
                <w:highlight w:val="yellow"/>
              </w:rPr>
            </w:pPr>
            <w:r w:rsidRPr="005A4D80">
              <w:rPr>
                <w:rFonts w:eastAsia="標楷體" w:hAnsi="標楷體"/>
              </w:rPr>
              <w:t>應用奈米醫材科技股份有限公司及子公司</w:t>
            </w:r>
            <w:r w:rsidRPr="005A4D80">
              <w:rPr>
                <w:rFonts w:eastAsia="標楷體"/>
              </w:rPr>
              <w:t>(</w:t>
            </w:r>
            <w:r w:rsidRPr="005A4D80">
              <w:rPr>
                <w:rFonts w:eastAsia="標楷體" w:hAnsi="標楷體"/>
              </w:rPr>
              <w:t>以下簡稱奈米醫材公司或該公司</w:t>
            </w:r>
            <w:r w:rsidRPr="005A4D80">
              <w:rPr>
                <w:rFonts w:eastAsia="標楷體"/>
              </w:rPr>
              <w:t>)</w:t>
            </w:r>
            <w:r w:rsidRPr="005A4D80">
              <w:rPr>
                <w:rFonts w:eastAsia="標楷體" w:hAnsi="標楷體"/>
              </w:rPr>
              <w:t>產品主要集中在眼科醫材之生產、相關應用技術及材料之授權及提供，其中包含人工水晶體</w:t>
            </w:r>
            <w:r w:rsidRPr="005A4D80">
              <w:rPr>
                <w:rFonts w:eastAsia="標楷體"/>
              </w:rPr>
              <w:t>(IOL)</w:t>
            </w:r>
            <w:r w:rsidRPr="005A4D80">
              <w:rPr>
                <w:rFonts w:eastAsia="標楷體" w:hAnsi="標楷體"/>
              </w:rPr>
              <w:t>及植入系統</w:t>
            </w:r>
            <w:r w:rsidRPr="005A4D80">
              <w:rPr>
                <w:rFonts w:eastAsia="標楷體"/>
              </w:rPr>
              <w:t>(Delivery system)</w:t>
            </w:r>
            <w:r w:rsidRPr="005A4D80">
              <w:rPr>
                <w:rFonts w:eastAsia="標楷體" w:hAnsi="標楷體"/>
              </w:rPr>
              <w:t>之開發、生產、代工及銷售，</w:t>
            </w:r>
            <w:r w:rsidRPr="005A4D80">
              <w:rPr>
                <w:rFonts w:eastAsia="標楷體"/>
              </w:rPr>
              <w:t>IOL</w:t>
            </w:r>
            <w:r w:rsidRPr="005A4D80">
              <w:rPr>
                <w:rFonts w:eastAsia="標楷體" w:hAnsi="標楷體"/>
              </w:rPr>
              <w:t>、</w:t>
            </w:r>
            <w:r w:rsidRPr="005A4D80">
              <w:rPr>
                <w:rFonts w:eastAsia="標楷體"/>
              </w:rPr>
              <w:t>Delivery system</w:t>
            </w:r>
            <w:r w:rsidRPr="005A4D80">
              <w:rPr>
                <w:rFonts w:eastAsia="標楷體" w:hAnsi="標楷體"/>
              </w:rPr>
              <w:t>及醫學材料表面潤滑處理技術</w:t>
            </w:r>
            <w:r w:rsidRPr="005A4D80">
              <w:rPr>
                <w:rFonts w:eastAsia="標楷體"/>
              </w:rPr>
              <w:t>(Coating)</w:t>
            </w:r>
            <w:r w:rsidRPr="005A4D80">
              <w:rPr>
                <w:rFonts w:eastAsia="標楷體" w:hAnsi="標楷體"/>
              </w:rPr>
              <w:t>之研發、技術授權、潤滑塗料之提供、亦提供相關表面處理服務。目前國內上市櫃公司中，並無相同產品之競爭對手，故選取與該公司營運模式與產品性質較為相似的</w:t>
            </w:r>
            <w:r w:rsidRPr="005A4D80">
              <w:rPr>
                <w:rFonts w:eastAsia="標楷體" w:hAnsi="標楷體" w:hint="eastAsia"/>
              </w:rPr>
              <w:t>精華</w:t>
            </w:r>
            <w:r w:rsidRPr="005A4D80">
              <w:rPr>
                <w:rFonts w:eastAsia="標楷體" w:hAnsi="標楷體"/>
              </w:rPr>
              <w:t>(</w:t>
            </w:r>
            <w:r w:rsidRPr="005A4D80">
              <w:rPr>
                <w:rFonts w:eastAsia="標楷體" w:hAnsi="標楷體" w:hint="eastAsia"/>
              </w:rPr>
              <w:t>1565</w:t>
            </w:r>
            <w:r w:rsidRPr="005A4D80">
              <w:rPr>
                <w:rFonts w:eastAsia="標楷體" w:hAnsi="標楷體"/>
              </w:rPr>
              <w:t>)</w:t>
            </w:r>
            <w:r w:rsidRPr="005A4D80">
              <w:rPr>
                <w:rFonts w:eastAsia="標楷體" w:hAnsi="標楷體"/>
              </w:rPr>
              <w:t>、雙美</w:t>
            </w:r>
            <w:r w:rsidRPr="005A4D80">
              <w:rPr>
                <w:rFonts w:eastAsia="標楷體" w:hAnsi="標楷體"/>
              </w:rPr>
              <w:t>(4728)</w:t>
            </w:r>
            <w:r w:rsidRPr="005A4D80">
              <w:rPr>
                <w:rFonts w:eastAsia="標楷體" w:hAnsi="標楷體"/>
              </w:rPr>
              <w:t>及</w:t>
            </w:r>
            <w:r w:rsidRPr="005A4D80">
              <w:rPr>
                <w:rFonts w:eastAsia="標楷體" w:hAnsi="標楷體" w:hint="eastAsia"/>
              </w:rPr>
              <w:t>邦特</w:t>
            </w:r>
            <w:r w:rsidRPr="005A4D80">
              <w:rPr>
                <w:rFonts w:eastAsia="標楷體" w:hAnsi="標楷體"/>
              </w:rPr>
              <w:t>(</w:t>
            </w:r>
            <w:r w:rsidRPr="005A4D80">
              <w:rPr>
                <w:rFonts w:eastAsia="標楷體" w:hAnsi="標楷體" w:hint="eastAsia"/>
              </w:rPr>
              <w:t>4</w:t>
            </w:r>
            <w:r w:rsidRPr="005A4D80">
              <w:rPr>
                <w:rFonts w:eastAsia="標楷體" w:hAnsi="標楷體"/>
              </w:rPr>
              <w:t>1</w:t>
            </w:r>
            <w:r w:rsidRPr="005A4D80">
              <w:rPr>
                <w:rFonts w:eastAsia="標楷體" w:hAnsi="標楷體" w:hint="eastAsia"/>
              </w:rPr>
              <w:t>0</w:t>
            </w:r>
            <w:r w:rsidRPr="005A4D80">
              <w:rPr>
                <w:rFonts w:eastAsia="標楷體" w:hAnsi="標楷體"/>
              </w:rPr>
              <w:t>7)</w:t>
            </w:r>
            <w:r w:rsidRPr="005A4D80">
              <w:rPr>
                <w:rFonts w:eastAsia="標楷體" w:hAnsi="標楷體"/>
              </w:rPr>
              <w:t>為採樣同業，</w:t>
            </w:r>
            <w:r w:rsidRPr="005A4D80">
              <w:rPr>
                <w:rFonts w:eastAsia="標楷體" w:hAnsi="標楷體" w:hint="eastAsia"/>
              </w:rPr>
              <w:t>並以</w:t>
            </w:r>
            <w:r w:rsidRPr="005A4D80">
              <w:rPr>
                <w:rFonts w:eastAsia="標楷體" w:hAnsi="標楷體"/>
              </w:rPr>
              <w:t>上櫃生技醫療業做為比較群組。</w:t>
            </w:r>
            <w:r w:rsidRPr="005A4D80">
              <w:rPr>
                <w:rFonts w:eastAsia="標楷體" w:hAnsi="標楷體" w:hint="eastAsia"/>
              </w:rPr>
              <w:t>精華</w:t>
            </w:r>
            <w:r w:rsidRPr="005A4D80">
              <w:rPr>
                <w:rFonts w:eastAsia="標楷體" w:hAnsi="標楷體"/>
              </w:rPr>
              <w:t>主要產品為隱形眼鏡</w:t>
            </w:r>
            <w:r w:rsidRPr="005A4D80">
              <w:rPr>
                <w:rFonts w:eastAsia="標楷體" w:hAnsi="標楷體" w:hint="eastAsia"/>
              </w:rPr>
              <w:t>/</w:t>
            </w:r>
            <w:r w:rsidRPr="005A4D80">
              <w:rPr>
                <w:rFonts w:eastAsia="標楷體" w:hAnsi="標楷體"/>
              </w:rPr>
              <w:t>光學鏡片及其附屬用品；雙美主要從事提供膠原蛋白整容植入劑、保養品及膠原蛋白應用醫療器材（包括膠原蛋白基質、可吸收性膠原蛋白膜、膠原蛋白骨填料、牙科骨填料等）</w:t>
            </w:r>
            <w:r w:rsidRPr="005A4D80">
              <w:rPr>
                <w:rFonts w:eastAsia="標楷體" w:hAnsi="標楷體" w:hint="eastAsia"/>
              </w:rPr>
              <w:t>；邦特主要產品為</w:t>
            </w:r>
            <w:r w:rsidRPr="005A4D80">
              <w:rPr>
                <w:rFonts w:eastAsia="標楷體" w:hAnsi="標楷體"/>
              </w:rPr>
              <w:t>血液透析耗材、血管內治療耗材、及其他各種醫療耗材</w:t>
            </w:r>
            <w:r w:rsidRPr="005A4D80">
              <w:rPr>
                <w:rFonts w:eastAsia="標楷體" w:hAnsi="標楷體" w:hint="eastAsia"/>
              </w:rPr>
              <w:t>。茲將該公司之採樣同業、上櫃</w:t>
            </w:r>
            <w:r w:rsidRPr="005A4D80">
              <w:rPr>
                <w:rFonts w:eastAsia="標楷體" w:hAnsi="標楷體"/>
              </w:rPr>
              <w:t>-</w:t>
            </w:r>
            <w:r w:rsidRPr="005A4D80">
              <w:rPr>
                <w:rFonts w:eastAsia="標楷體" w:hAnsi="標楷體" w:hint="eastAsia"/>
              </w:rPr>
              <w:t>生技醫療業最近三個月之股價淨值比資料，彙整列表如下：</w:t>
            </w:r>
          </w:p>
          <w:p w:rsidR="00BB79D6" w:rsidRPr="00C24796" w:rsidRDefault="00BB79D6" w:rsidP="003A1E34">
            <w:pPr>
              <w:tabs>
                <w:tab w:val="left" w:pos="7546"/>
              </w:tabs>
              <w:overflowPunct w:val="0"/>
              <w:autoSpaceDE w:val="0"/>
              <w:autoSpaceDN w:val="0"/>
              <w:adjustRightInd w:val="0"/>
              <w:snapToGrid w:val="0"/>
              <w:spacing w:beforeLines="10" w:afterLines="10" w:line="300" w:lineRule="atLeast"/>
              <w:ind w:leftChars="236" w:left="566" w:firstLineChars="200" w:firstLine="480"/>
              <w:jc w:val="right"/>
              <w:textAlignment w:val="baseline"/>
              <w:rPr>
                <w:rFonts w:eastAsia="標楷體" w:hAnsi="標楷體"/>
                <w:kern w:val="0"/>
              </w:rPr>
            </w:pPr>
            <w:r w:rsidRPr="001C1C43">
              <w:rPr>
                <w:rFonts w:eastAsia="標楷體" w:hAnsi="標楷體"/>
              </w:rPr>
              <w:t>單位：倍</w:t>
            </w:r>
          </w:p>
          <w:tbl>
            <w:tblP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0"/>
              <w:gridCol w:w="1886"/>
              <w:gridCol w:w="1811"/>
              <w:gridCol w:w="2067"/>
            </w:tblGrid>
            <w:tr w:rsidR="00BB79D6" w:rsidRPr="00B816CA" w:rsidTr="00D208AD">
              <w:trPr>
                <w:cantSplit/>
                <w:tblHeader/>
              </w:trPr>
              <w:tc>
                <w:tcPr>
                  <w:tcW w:w="1224" w:type="pct"/>
                  <w:tcBorders>
                    <w:bottom w:val="single" w:sz="4" w:space="0" w:color="auto"/>
                  </w:tcBorders>
                  <w:vAlign w:val="center"/>
                </w:tcPr>
                <w:p w:rsidR="00BB79D6" w:rsidRPr="001C1C43" w:rsidRDefault="00BB79D6" w:rsidP="00D208AD">
                  <w:pPr>
                    <w:adjustRightInd w:val="0"/>
                    <w:snapToGrid w:val="0"/>
                    <w:spacing w:line="240" w:lineRule="atLeast"/>
                    <w:jc w:val="center"/>
                    <w:rPr>
                      <w:rFonts w:eastAsia="標楷體" w:hAnsi="標楷體"/>
                    </w:rPr>
                  </w:pPr>
                  <w:r w:rsidRPr="001C1C43">
                    <w:rPr>
                      <w:rFonts w:eastAsia="標楷體" w:hAnsi="標楷體"/>
                    </w:rPr>
                    <w:t>採樣同業</w:t>
                  </w:r>
                </w:p>
              </w:tc>
              <w:tc>
                <w:tcPr>
                  <w:tcW w:w="1235" w:type="pct"/>
                  <w:tcBorders>
                    <w:bottom w:val="single" w:sz="4" w:space="0" w:color="auto"/>
                  </w:tcBorders>
                  <w:vAlign w:val="center"/>
                </w:tcPr>
                <w:p w:rsidR="00BB79D6" w:rsidRDefault="00BB79D6" w:rsidP="00D208AD">
                  <w:pPr>
                    <w:pStyle w:val="af3"/>
                    <w:snapToGrid w:val="0"/>
                    <w:spacing w:line="240" w:lineRule="atLeast"/>
                    <w:textAlignment w:val="auto"/>
                    <w:rPr>
                      <w:rFonts w:ascii="Times New Roman" w:eastAsia="標楷體" w:hAnsi="Times New Roman"/>
                      <w:spacing w:val="0"/>
                      <w:kern w:val="2"/>
                    </w:rPr>
                  </w:pPr>
                  <w:r w:rsidRPr="001C1C43">
                    <w:rPr>
                      <w:rFonts w:ascii="Times New Roman" w:eastAsia="標楷體" w:hAnsi="Times New Roman"/>
                      <w:spacing w:val="0"/>
                      <w:kern w:val="2"/>
                    </w:rPr>
                    <w:t>105</w:t>
                  </w:r>
                  <w:r>
                    <w:rPr>
                      <w:rFonts w:ascii="Times New Roman" w:eastAsia="標楷體" w:hAnsi="Times New Roman" w:hint="eastAsia"/>
                      <w:spacing w:val="0"/>
                      <w:kern w:val="2"/>
                    </w:rPr>
                    <w:t>年</w:t>
                  </w:r>
                  <w:r w:rsidRPr="001C1C43">
                    <w:rPr>
                      <w:rFonts w:ascii="Times New Roman" w:eastAsia="標楷體" w:hAnsi="Times New Roman"/>
                      <w:spacing w:val="0"/>
                      <w:kern w:val="2"/>
                    </w:rPr>
                    <w:t>8</w:t>
                  </w:r>
                  <w:r>
                    <w:rPr>
                      <w:rFonts w:ascii="Times New Roman" w:eastAsia="標楷體" w:hAnsi="Times New Roman" w:hint="eastAsia"/>
                      <w:spacing w:val="0"/>
                      <w:kern w:val="2"/>
                    </w:rPr>
                    <w:t>月</w:t>
                  </w:r>
                </w:p>
                <w:p w:rsidR="00BB79D6" w:rsidRPr="00B816CA" w:rsidRDefault="00BB79D6" w:rsidP="00D208AD">
                  <w:pPr>
                    <w:pStyle w:val="af3"/>
                    <w:snapToGrid w:val="0"/>
                    <w:spacing w:line="240" w:lineRule="atLeast"/>
                    <w:textAlignment w:val="auto"/>
                    <w:rPr>
                      <w:rFonts w:ascii="Times New Roman" w:eastAsia="標楷體" w:hAnsi="Times New Roman"/>
                      <w:spacing w:val="0"/>
                      <w:kern w:val="2"/>
                    </w:rPr>
                  </w:pPr>
                  <w:r w:rsidRPr="00DD35D7">
                    <w:rPr>
                      <w:rFonts w:ascii="Times New Roman" w:eastAsia="標楷體" w:hAnsi="Times New Roman" w:hint="eastAsia"/>
                      <w:spacing w:val="0"/>
                      <w:kern w:val="2"/>
                    </w:rPr>
                    <w:t>平均股價淨值比</w:t>
                  </w:r>
                </w:p>
              </w:tc>
              <w:tc>
                <w:tcPr>
                  <w:tcW w:w="1186" w:type="pct"/>
                  <w:tcBorders>
                    <w:bottom w:val="single" w:sz="4" w:space="0" w:color="auto"/>
                  </w:tcBorders>
                  <w:vAlign w:val="center"/>
                </w:tcPr>
                <w:p w:rsidR="00BB79D6" w:rsidRDefault="00BB79D6" w:rsidP="00D208AD">
                  <w:pPr>
                    <w:pStyle w:val="af3"/>
                    <w:snapToGrid w:val="0"/>
                    <w:spacing w:line="240" w:lineRule="atLeast"/>
                    <w:textAlignment w:val="auto"/>
                    <w:rPr>
                      <w:rFonts w:ascii="Times New Roman" w:eastAsia="標楷體" w:hAnsi="Times New Roman"/>
                      <w:spacing w:val="0"/>
                      <w:kern w:val="2"/>
                    </w:rPr>
                  </w:pPr>
                  <w:r w:rsidRPr="001C1C43">
                    <w:rPr>
                      <w:rFonts w:ascii="Times New Roman" w:eastAsia="標楷體" w:hAnsi="Times New Roman"/>
                      <w:spacing w:val="0"/>
                      <w:kern w:val="2"/>
                    </w:rPr>
                    <w:t>105</w:t>
                  </w:r>
                  <w:r>
                    <w:rPr>
                      <w:rFonts w:ascii="Times New Roman" w:eastAsia="標楷體" w:hAnsi="Times New Roman" w:hint="eastAsia"/>
                      <w:spacing w:val="0"/>
                      <w:kern w:val="2"/>
                    </w:rPr>
                    <w:t>年</w:t>
                  </w:r>
                  <w:r>
                    <w:rPr>
                      <w:rFonts w:ascii="Times New Roman" w:eastAsia="標楷體" w:hAnsi="Times New Roman" w:hint="eastAsia"/>
                      <w:spacing w:val="0"/>
                      <w:kern w:val="2"/>
                    </w:rPr>
                    <w:t>9</w:t>
                  </w:r>
                  <w:r>
                    <w:rPr>
                      <w:rFonts w:ascii="Times New Roman" w:eastAsia="標楷體" w:hAnsi="Times New Roman" w:hint="eastAsia"/>
                      <w:spacing w:val="0"/>
                      <w:kern w:val="2"/>
                    </w:rPr>
                    <w:t>月</w:t>
                  </w:r>
                </w:p>
                <w:p w:rsidR="00BB79D6" w:rsidRPr="00B816CA" w:rsidRDefault="00BB79D6" w:rsidP="00D208AD">
                  <w:pPr>
                    <w:pStyle w:val="af3"/>
                    <w:snapToGrid w:val="0"/>
                    <w:spacing w:line="240" w:lineRule="atLeast"/>
                    <w:textAlignment w:val="auto"/>
                    <w:rPr>
                      <w:rFonts w:ascii="Times New Roman" w:eastAsia="標楷體" w:hAnsi="Times New Roman"/>
                      <w:spacing w:val="0"/>
                      <w:kern w:val="2"/>
                    </w:rPr>
                  </w:pPr>
                  <w:r w:rsidRPr="00DD35D7">
                    <w:rPr>
                      <w:rFonts w:ascii="Times New Roman" w:eastAsia="標楷體" w:hAnsi="Times New Roman" w:hint="eastAsia"/>
                      <w:spacing w:val="0"/>
                      <w:kern w:val="2"/>
                    </w:rPr>
                    <w:t>平均股價淨值比</w:t>
                  </w:r>
                </w:p>
              </w:tc>
              <w:tc>
                <w:tcPr>
                  <w:tcW w:w="1354" w:type="pct"/>
                  <w:tcBorders>
                    <w:bottom w:val="single" w:sz="4" w:space="0" w:color="auto"/>
                  </w:tcBorders>
                  <w:vAlign w:val="center"/>
                </w:tcPr>
                <w:p w:rsidR="00BB79D6" w:rsidRPr="00B816CA" w:rsidRDefault="00BB79D6" w:rsidP="00D208AD">
                  <w:pPr>
                    <w:pStyle w:val="af3"/>
                    <w:snapToGrid w:val="0"/>
                    <w:spacing w:line="240" w:lineRule="atLeast"/>
                    <w:textAlignment w:val="auto"/>
                    <w:rPr>
                      <w:rFonts w:ascii="Times New Roman" w:eastAsia="標楷體" w:hAnsi="Times New Roman"/>
                      <w:spacing w:val="0"/>
                      <w:kern w:val="2"/>
                    </w:rPr>
                  </w:pPr>
                  <w:r w:rsidRPr="001C1C43">
                    <w:rPr>
                      <w:rFonts w:ascii="Times New Roman" w:eastAsia="標楷體" w:hAnsi="Times New Roman"/>
                      <w:spacing w:val="0"/>
                      <w:kern w:val="2"/>
                    </w:rPr>
                    <w:t>105</w:t>
                  </w:r>
                  <w:r>
                    <w:rPr>
                      <w:rFonts w:ascii="Times New Roman" w:eastAsia="標楷體" w:hAnsi="Times New Roman" w:hint="eastAsia"/>
                      <w:spacing w:val="0"/>
                      <w:kern w:val="2"/>
                    </w:rPr>
                    <w:t>年</w:t>
                  </w:r>
                  <w:r>
                    <w:rPr>
                      <w:rFonts w:ascii="Times New Roman" w:eastAsia="標楷體" w:hAnsi="Times New Roman" w:hint="eastAsia"/>
                      <w:spacing w:val="0"/>
                      <w:kern w:val="2"/>
                    </w:rPr>
                    <w:t>10</w:t>
                  </w:r>
                  <w:r>
                    <w:rPr>
                      <w:rFonts w:ascii="Times New Roman" w:eastAsia="標楷體" w:hAnsi="Times New Roman" w:hint="eastAsia"/>
                      <w:spacing w:val="0"/>
                      <w:kern w:val="2"/>
                    </w:rPr>
                    <w:t>月</w:t>
                  </w:r>
                </w:p>
                <w:p w:rsidR="00BB79D6" w:rsidRPr="00B816CA" w:rsidRDefault="00BB79D6" w:rsidP="00D208AD">
                  <w:pPr>
                    <w:pStyle w:val="af3"/>
                    <w:snapToGrid w:val="0"/>
                    <w:spacing w:line="240" w:lineRule="atLeast"/>
                    <w:textAlignment w:val="auto"/>
                    <w:rPr>
                      <w:rFonts w:ascii="Times New Roman" w:eastAsia="標楷體" w:hAnsi="Times New Roman"/>
                      <w:spacing w:val="0"/>
                      <w:kern w:val="2"/>
                    </w:rPr>
                  </w:pPr>
                  <w:r w:rsidRPr="00DD35D7">
                    <w:rPr>
                      <w:rFonts w:ascii="Times New Roman" w:eastAsia="標楷體" w:hAnsi="Times New Roman" w:hint="eastAsia"/>
                      <w:spacing w:val="0"/>
                      <w:kern w:val="2"/>
                    </w:rPr>
                    <w:t>平均股價淨值比</w:t>
                  </w:r>
                </w:p>
              </w:tc>
            </w:tr>
            <w:tr w:rsidR="00BB79D6" w:rsidRPr="00B816CA" w:rsidTr="00D208AD">
              <w:trPr>
                <w:cantSplit/>
              </w:trPr>
              <w:tc>
                <w:tcPr>
                  <w:tcW w:w="1224" w:type="pct"/>
                  <w:tcBorders>
                    <w:bottom w:val="single" w:sz="4" w:space="0" w:color="auto"/>
                  </w:tcBorders>
                  <w:vAlign w:val="center"/>
                </w:tcPr>
                <w:p w:rsidR="00BB79D6" w:rsidRPr="001C1C43" w:rsidRDefault="00BB79D6" w:rsidP="00D208AD">
                  <w:pPr>
                    <w:adjustRightInd w:val="0"/>
                    <w:snapToGrid w:val="0"/>
                    <w:spacing w:line="240" w:lineRule="atLeast"/>
                    <w:jc w:val="center"/>
                    <w:rPr>
                      <w:rFonts w:eastAsia="標楷體" w:hAnsi="標楷體"/>
                    </w:rPr>
                  </w:pPr>
                  <w:r w:rsidRPr="001C1C43">
                    <w:rPr>
                      <w:rFonts w:eastAsia="標楷體" w:hAnsi="標楷體" w:hint="eastAsia"/>
                    </w:rPr>
                    <w:t>精華</w:t>
                  </w:r>
                </w:p>
              </w:tc>
              <w:tc>
                <w:tcPr>
                  <w:tcW w:w="1235" w:type="pct"/>
                  <w:tcBorders>
                    <w:bottom w:val="single" w:sz="4" w:space="0" w:color="auto"/>
                  </w:tcBorders>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9.26</w:t>
                  </w:r>
                </w:p>
              </w:tc>
              <w:tc>
                <w:tcPr>
                  <w:tcW w:w="1186" w:type="pct"/>
                  <w:tcBorders>
                    <w:bottom w:val="single" w:sz="4" w:space="0" w:color="auto"/>
                  </w:tcBorders>
                  <w:vAlign w:val="center"/>
                </w:tcPr>
                <w:p w:rsidR="00BB79D6" w:rsidRPr="00B816CA" w:rsidRDefault="00BB79D6" w:rsidP="00D208AD">
                  <w:pPr>
                    <w:adjustRightInd w:val="0"/>
                    <w:snapToGrid w:val="0"/>
                    <w:spacing w:line="240" w:lineRule="atLeast"/>
                    <w:jc w:val="center"/>
                  </w:pPr>
                  <w:r w:rsidRPr="00B816CA">
                    <w:rPr>
                      <w:rFonts w:hint="eastAsia"/>
                    </w:rPr>
                    <w:t>8.64</w:t>
                  </w:r>
                </w:p>
              </w:tc>
              <w:tc>
                <w:tcPr>
                  <w:tcW w:w="1354" w:type="pct"/>
                  <w:tcBorders>
                    <w:bottom w:val="single" w:sz="4" w:space="0" w:color="auto"/>
                  </w:tcBorders>
                  <w:vAlign w:val="center"/>
                </w:tcPr>
                <w:p w:rsidR="00BB79D6" w:rsidRPr="00B816CA" w:rsidRDefault="00BB79D6" w:rsidP="00D208AD">
                  <w:pPr>
                    <w:adjustRightInd w:val="0"/>
                    <w:snapToGrid w:val="0"/>
                    <w:spacing w:line="240" w:lineRule="atLeast"/>
                    <w:jc w:val="center"/>
                  </w:pPr>
                  <w:r w:rsidRPr="00B816CA">
                    <w:rPr>
                      <w:rFonts w:hint="eastAsia"/>
                    </w:rPr>
                    <w:t>7.85</w:t>
                  </w:r>
                </w:p>
              </w:tc>
            </w:tr>
            <w:tr w:rsidR="00BB79D6" w:rsidRPr="00B816CA" w:rsidTr="00D208AD">
              <w:trPr>
                <w:cantSplit/>
              </w:trPr>
              <w:tc>
                <w:tcPr>
                  <w:tcW w:w="1224" w:type="pct"/>
                  <w:tcBorders>
                    <w:bottom w:val="single" w:sz="4" w:space="0" w:color="auto"/>
                  </w:tcBorders>
                  <w:vAlign w:val="center"/>
                </w:tcPr>
                <w:p w:rsidR="00BB79D6" w:rsidRPr="001C1C43" w:rsidRDefault="00BB79D6" w:rsidP="00D208AD">
                  <w:pPr>
                    <w:adjustRightInd w:val="0"/>
                    <w:snapToGrid w:val="0"/>
                    <w:spacing w:line="240" w:lineRule="atLeast"/>
                    <w:jc w:val="center"/>
                    <w:rPr>
                      <w:rFonts w:eastAsia="標楷體" w:hAnsi="標楷體"/>
                    </w:rPr>
                  </w:pPr>
                  <w:r w:rsidRPr="001C1C43">
                    <w:rPr>
                      <w:rFonts w:eastAsia="標楷體" w:hAnsi="標楷體"/>
                    </w:rPr>
                    <w:t>雙美</w:t>
                  </w:r>
                </w:p>
              </w:tc>
              <w:tc>
                <w:tcPr>
                  <w:tcW w:w="1235" w:type="pct"/>
                  <w:tcBorders>
                    <w:bottom w:val="single" w:sz="4" w:space="0" w:color="auto"/>
                  </w:tcBorders>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4.52</w:t>
                  </w:r>
                </w:p>
              </w:tc>
              <w:tc>
                <w:tcPr>
                  <w:tcW w:w="1186" w:type="pct"/>
                  <w:tcBorders>
                    <w:bottom w:val="single" w:sz="4" w:space="0" w:color="auto"/>
                  </w:tcBorders>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4.59</w:t>
                  </w:r>
                </w:p>
              </w:tc>
              <w:tc>
                <w:tcPr>
                  <w:tcW w:w="1354" w:type="pct"/>
                  <w:tcBorders>
                    <w:bottom w:val="single" w:sz="4" w:space="0" w:color="auto"/>
                  </w:tcBorders>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4.17</w:t>
                  </w:r>
                </w:p>
              </w:tc>
            </w:tr>
            <w:tr w:rsidR="00BB79D6" w:rsidRPr="00B816CA" w:rsidTr="00D208AD">
              <w:trPr>
                <w:cantSplit/>
              </w:trPr>
              <w:tc>
                <w:tcPr>
                  <w:tcW w:w="1224" w:type="pct"/>
                  <w:vAlign w:val="center"/>
                </w:tcPr>
                <w:p w:rsidR="00BB79D6" w:rsidRPr="001C1C43" w:rsidRDefault="00BB79D6" w:rsidP="00D208AD">
                  <w:pPr>
                    <w:adjustRightInd w:val="0"/>
                    <w:snapToGrid w:val="0"/>
                    <w:spacing w:line="240" w:lineRule="atLeast"/>
                    <w:jc w:val="center"/>
                    <w:rPr>
                      <w:rFonts w:eastAsia="標楷體" w:hAnsi="標楷體"/>
                    </w:rPr>
                  </w:pPr>
                  <w:r w:rsidRPr="001C1C43">
                    <w:rPr>
                      <w:rFonts w:eastAsia="標楷體" w:hAnsi="標楷體" w:hint="eastAsia"/>
                    </w:rPr>
                    <w:t>邦特</w:t>
                  </w:r>
                </w:p>
              </w:tc>
              <w:tc>
                <w:tcPr>
                  <w:tcW w:w="1235" w:type="pct"/>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5.27</w:t>
                  </w:r>
                </w:p>
              </w:tc>
              <w:tc>
                <w:tcPr>
                  <w:tcW w:w="1186" w:type="pct"/>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5.74</w:t>
                  </w:r>
                </w:p>
              </w:tc>
              <w:tc>
                <w:tcPr>
                  <w:tcW w:w="1354" w:type="pct"/>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4.91</w:t>
                  </w:r>
                </w:p>
              </w:tc>
            </w:tr>
            <w:tr w:rsidR="00BB79D6" w:rsidRPr="00DD1AA9" w:rsidTr="00D208AD">
              <w:trPr>
                <w:cantSplit/>
              </w:trPr>
              <w:tc>
                <w:tcPr>
                  <w:tcW w:w="1224" w:type="pct"/>
                  <w:tcBorders>
                    <w:bottom w:val="single" w:sz="4" w:space="0" w:color="auto"/>
                  </w:tcBorders>
                  <w:vAlign w:val="center"/>
                </w:tcPr>
                <w:p w:rsidR="00BB79D6" w:rsidRPr="001C1C43" w:rsidRDefault="00BB79D6" w:rsidP="00D208AD">
                  <w:pPr>
                    <w:adjustRightInd w:val="0"/>
                    <w:snapToGrid w:val="0"/>
                    <w:spacing w:line="240" w:lineRule="atLeast"/>
                    <w:jc w:val="center"/>
                    <w:rPr>
                      <w:rFonts w:eastAsia="標楷體" w:hAnsi="標楷體"/>
                    </w:rPr>
                  </w:pPr>
                  <w:r w:rsidRPr="001C1C43">
                    <w:rPr>
                      <w:rFonts w:eastAsia="標楷體" w:hAnsi="標楷體"/>
                    </w:rPr>
                    <w:t>生技醫療類股</w:t>
                  </w:r>
                </w:p>
              </w:tc>
              <w:tc>
                <w:tcPr>
                  <w:tcW w:w="1235" w:type="pct"/>
                  <w:tcBorders>
                    <w:bottom w:val="single" w:sz="4" w:space="0" w:color="auto"/>
                  </w:tcBorders>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3.99</w:t>
                  </w:r>
                </w:p>
              </w:tc>
              <w:tc>
                <w:tcPr>
                  <w:tcW w:w="1186" w:type="pct"/>
                  <w:tcBorders>
                    <w:bottom w:val="single" w:sz="4" w:space="0" w:color="auto"/>
                  </w:tcBorders>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4.14</w:t>
                  </w:r>
                </w:p>
              </w:tc>
              <w:tc>
                <w:tcPr>
                  <w:tcW w:w="1354" w:type="pct"/>
                  <w:tcBorders>
                    <w:bottom w:val="single" w:sz="4" w:space="0" w:color="auto"/>
                  </w:tcBorders>
                  <w:vAlign w:val="center"/>
                </w:tcPr>
                <w:p w:rsidR="00BB79D6" w:rsidRPr="00B816CA" w:rsidRDefault="00BB79D6" w:rsidP="00D208AD">
                  <w:pPr>
                    <w:adjustRightInd w:val="0"/>
                    <w:snapToGrid w:val="0"/>
                    <w:spacing w:line="240" w:lineRule="atLeast"/>
                    <w:jc w:val="center"/>
                    <w:rPr>
                      <w:color w:val="000000"/>
                    </w:rPr>
                  </w:pPr>
                  <w:r w:rsidRPr="00B816CA">
                    <w:rPr>
                      <w:rFonts w:hint="eastAsia"/>
                      <w:color w:val="000000"/>
                    </w:rPr>
                    <w:t>3.79</w:t>
                  </w:r>
                </w:p>
              </w:tc>
            </w:tr>
          </w:tbl>
          <w:p w:rsidR="00BB79D6" w:rsidRDefault="00BB79D6" w:rsidP="00D208AD">
            <w:pPr>
              <w:jc w:val="both"/>
              <w:rPr>
                <w:rFonts w:eastAsia="標楷體" w:hAnsi="標楷體"/>
              </w:rPr>
            </w:pPr>
            <w:r w:rsidRPr="00B823E8">
              <w:rPr>
                <w:rFonts w:eastAsia="標楷體"/>
                <w:color w:val="000000"/>
                <w:sz w:val="20"/>
                <w:szCs w:val="20"/>
              </w:rPr>
              <w:t>資料來源：財團法人中華民國證券櫃檯買賣中心及證券交易所網站</w:t>
            </w:r>
          </w:p>
          <w:p w:rsidR="00BB79D6" w:rsidRPr="00C24796" w:rsidRDefault="00BB79D6" w:rsidP="003A1E34">
            <w:pPr>
              <w:spacing w:beforeLines="50"/>
              <w:ind w:firstLineChars="205" w:firstLine="492"/>
              <w:jc w:val="both"/>
              <w:rPr>
                <w:rFonts w:eastAsia="標楷體" w:hAnsi="標楷體"/>
              </w:rPr>
            </w:pPr>
            <w:r w:rsidRPr="00C24796">
              <w:rPr>
                <w:rFonts w:eastAsia="標楷體" w:hAnsi="標楷體" w:hint="eastAsia"/>
              </w:rPr>
              <w:t>若以股價淨值比為考量，因精華最近三個月之平均股價淨值比明顯超出其他同業而將其剔除後，同業之股價淨值比區間為</w:t>
            </w:r>
            <w:r w:rsidRPr="00C24796">
              <w:rPr>
                <w:rFonts w:eastAsia="標楷體" w:hAnsi="標楷體" w:hint="eastAsia"/>
              </w:rPr>
              <w:t>3.79</w:t>
            </w:r>
            <w:r w:rsidRPr="00C24796">
              <w:rPr>
                <w:rFonts w:eastAsia="標楷體" w:hAnsi="標楷體" w:hint="eastAsia"/>
              </w:rPr>
              <w:t>倍</w:t>
            </w:r>
            <w:r w:rsidRPr="00C24796">
              <w:rPr>
                <w:rFonts w:eastAsia="標楷體" w:hAnsi="標楷體" w:hint="eastAsia"/>
              </w:rPr>
              <w:t>~5.74</w:t>
            </w:r>
            <w:r w:rsidRPr="00C24796">
              <w:rPr>
                <w:rFonts w:eastAsia="標楷體" w:hAnsi="標楷體" w:hint="eastAsia"/>
              </w:rPr>
              <w:t>倍間，該公司</w:t>
            </w:r>
            <w:r w:rsidRPr="00C24796">
              <w:rPr>
                <w:rFonts w:eastAsia="標楷體" w:hAnsi="標楷體"/>
              </w:rPr>
              <w:t>10</w:t>
            </w:r>
            <w:r w:rsidRPr="00C24796">
              <w:rPr>
                <w:rFonts w:eastAsia="標楷體" w:hAnsi="標楷體" w:hint="eastAsia"/>
              </w:rPr>
              <w:t>5</w:t>
            </w:r>
            <w:r w:rsidRPr="00C24796">
              <w:rPr>
                <w:rFonts w:eastAsia="標楷體" w:hAnsi="標楷體" w:hint="eastAsia"/>
              </w:rPr>
              <w:t>年</w:t>
            </w:r>
            <w:r w:rsidRPr="00C24796">
              <w:rPr>
                <w:rFonts w:eastAsia="標楷體" w:hAnsi="標楷體" w:hint="eastAsia"/>
              </w:rPr>
              <w:t>10</w:t>
            </w:r>
            <w:r w:rsidRPr="00C24796">
              <w:rPr>
                <w:rFonts w:eastAsia="標楷體" w:hAnsi="標楷體" w:hint="eastAsia"/>
              </w:rPr>
              <w:t>月底自結淨值為每股</w:t>
            </w:r>
            <w:r w:rsidRPr="00C24796">
              <w:rPr>
                <w:rFonts w:eastAsia="標楷體" w:hAnsi="標楷體" w:hint="eastAsia"/>
              </w:rPr>
              <w:t>10.19</w:t>
            </w:r>
            <w:r w:rsidRPr="00C24796">
              <w:rPr>
                <w:rFonts w:eastAsia="標楷體" w:hAnsi="標楷體" w:hint="eastAsia"/>
              </w:rPr>
              <w:t>元，而依上述股價淨值比區間計算，該公司之價格區間為每股</w:t>
            </w:r>
            <w:r w:rsidRPr="00C24796">
              <w:rPr>
                <w:rFonts w:eastAsia="標楷體" w:hAnsi="標楷體" w:hint="eastAsia"/>
              </w:rPr>
              <w:t>38.62</w:t>
            </w:r>
            <w:r w:rsidRPr="00C24796">
              <w:rPr>
                <w:rFonts w:eastAsia="標楷體" w:hAnsi="標楷體" w:hint="eastAsia"/>
              </w:rPr>
              <w:t>元</w:t>
            </w:r>
            <w:r w:rsidRPr="00C24796">
              <w:rPr>
                <w:rFonts w:eastAsia="標楷體" w:hAnsi="標楷體" w:hint="eastAsia"/>
              </w:rPr>
              <w:t>~58.49</w:t>
            </w:r>
            <w:r w:rsidRPr="00C24796">
              <w:rPr>
                <w:rFonts w:eastAsia="標楷體" w:hAnsi="標楷體" w:hint="eastAsia"/>
              </w:rPr>
              <w:t>元。</w:t>
            </w:r>
          </w:p>
          <w:p w:rsidR="00BB79D6" w:rsidRPr="00F23D95" w:rsidRDefault="00BB79D6" w:rsidP="003A1E34">
            <w:pPr>
              <w:spacing w:beforeLines="50"/>
              <w:ind w:firstLineChars="205" w:firstLine="492"/>
              <w:jc w:val="both"/>
              <w:rPr>
                <w:rFonts w:ascii="新細明體" w:hAnsi="新細明體"/>
                <w:color w:val="FF0000"/>
                <w:u w:val="single"/>
                <w:shd w:val="pct15" w:color="auto" w:fill="FFFFFF"/>
              </w:rPr>
            </w:pPr>
            <w:r w:rsidRPr="00C24796">
              <w:rPr>
                <w:rFonts w:eastAsia="標楷體" w:hAnsi="Book Antiqua"/>
              </w:rPr>
              <w:t>綜上所述，本次興櫃認購價格之訂定除參酌國際慣用之評價法計算該公司合理價格，另並參酌該公司之所處產業、經營績效、發行市場環境及同業之市場狀況等因素後，與該公司共同議定之每股興櫃認購價格為</w:t>
            </w:r>
            <w:r w:rsidRPr="00C24796">
              <w:rPr>
                <w:rFonts w:eastAsia="標楷體"/>
              </w:rPr>
              <w:t>47</w:t>
            </w:r>
            <w:r w:rsidRPr="00C24796">
              <w:rPr>
                <w:rFonts w:eastAsia="標楷體" w:hAnsi="Book Antiqua"/>
              </w:rPr>
              <w:t>元尚屬合理。</w:t>
            </w:r>
          </w:p>
        </w:tc>
      </w:tr>
    </w:tbl>
    <w:p w:rsidR="00BB79D6" w:rsidRPr="00BB79D6" w:rsidRDefault="00BB79D6">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161123">
        <w:trPr>
          <w:trHeight w:val="768"/>
        </w:trPr>
        <w:tc>
          <w:tcPr>
            <w:tcW w:w="9568" w:type="dxa"/>
          </w:tcPr>
          <w:p w:rsidR="00161123" w:rsidRDefault="001F4C92">
            <w:pPr>
              <w:spacing w:line="480" w:lineRule="auto"/>
              <w:jc w:val="center"/>
              <w:rPr>
                <w:rFonts w:ascii="新細明體" w:hAnsi="新細明體"/>
                <w:b/>
                <w:bCs/>
              </w:rPr>
            </w:pPr>
            <w:bookmarkStart w:id="2" w:name="公司簡介"/>
            <w:bookmarkEnd w:id="2"/>
            <w:r w:rsidRPr="001F4C92">
              <w:rPr>
                <w:rFonts w:ascii="新細明體" w:hAnsi="新細明體"/>
                <w:noProof/>
                <w:sz w:val="20"/>
              </w:rPr>
              <w:pict>
                <v:shape id="_x0000_s1077" type="#_x0000_t202" style="position:absolute;left:0;text-align:left;margin-left:-1.1pt;margin-top:-.5pt;width:477pt;height:39.55pt;z-index:-13" fillcolor="#ededed" stroked="f">
                  <v:fill rotate="t" focus="50%" type="gradient"/>
                  <v:textbox style="mso-next-textbox:#_x0000_s1077">
                    <w:txbxContent>
                      <w:p w:rsidR="00161123" w:rsidRDefault="00161123"/>
                    </w:txbxContent>
                  </v:textbox>
                </v:shape>
              </w:pict>
            </w:r>
            <w:r w:rsidR="00161123">
              <w:rPr>
                <w:rFonts w:ascii="新細明體" w:hAnsi="新細明體"/>
                <w:b/>
                <w:bCs/>
              </w:rPr>
              <w:t>公司簡介(公司介紹、歷史沿革、經營理念、未來展望等)</w:t>
            </w:r>
          </w:p>
        </w:tc>
      </w:tr>
      <w:tr w:rsidR="00161123">
        <w:tc>
          <w:tcPr>
            <w:tcW w:w="9568" w:type="dxa"/>
          </w:tcPr>
          <w:p w:rsidR="00880632" w:rsidRPr="00880632" w:rsidRDefault="00880632" w:rsidP="00880632">
            <w:pPr>
              <w:pStyle w:val="HTML"/>
              <w:spacing w:line="24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sidRPr="00880632">
              <w:rPr>
                <w:rFonts w:ascii="Times New Roman" w:eastAsia="標楷體" w:hAnsi="Times New Roman" w:cs="Times New Roman" w:hint="eastAsia"/>
                <w:sz w:val="28"/>
                <w:szCs w:val="28"/>
              </w:rPr>
              <w:t xml:space="preserve"> </w:t>
            </w:r>
            <w:r w:rsidRPr="00880632">
              <w:rPr>
                <w:rFonts w:ascii="Times New Roman" w:eastAsia="標楷體" w:hAnsi="Times New Roman" w:cs="Times New Roman"/>
                <w:sz w:val="24"/>
                <w:szCs w:val="24"/>
              </w:rPr>
              <w:t>由</w:t>
            </w:r>
            <w:r w:rsidR="005A2D1C" w:rsidRPr="00880632">
              <w:rPr>
                <w:rFonts w:ascii="Times New Roman" w:eastAsia="標楷體" w:hAnsi="Times New Roman" w:cs="Times New Roman"/>
                <w:sz w:val="24"/>
                <w:szCs w:val="24"/>
              </w:rPr>
              <w:t>國際知名</w:t>
            </w:r>
            <w:r w:rsidR="005A2D1C">
              <w:rPr>
                <w:rFonts w:ascii="Times New Roman" w:eastAsia="標楷體" w:hAnsi="Times New Roman" w:cs="Times New Roman" w:hint="eastAsia"/>
                <w:sz w:val="24"/>
                <w:szCs w:val="24"/>
              </w:rPr>
              <w:t>位於</w:t>
            </w:r>
            <w:r w:rsidRPr="00880632">
              <w:rPr>
                <w:rFonts w:ascii="Times New Roman" w:eastAsia="標楷體" w:hAnsi="Times New Roman" w:cs="Times New Roman"/>
                <w:sz w:val="24"/>
                <w:szCs w:val="24"/>
              </w:rPr>
              <w:t>美國波士頓</w:t>
            </w:r>
            <w:r w:rsidR="005A2D1C">
              <w:rPr>
                <w:rFonts w:ascii="Times New Roman" w:eastAsia="標楷體" w:hAnsi="Times New Roman" w:cs="Times New Roman" w:hint="eastAsia"/>
                <w:sz w:val="24"/>
                <w:szCs w:val="24"/>
              </w:rPr>
              <w:t>高階醫材</w:t>
            </w:r>
            <w:r w:rsidR="005A2D1C" w:rsidRPr="00880632">
              <w:rPr>
                <w:rFonts w:ascii="Times New Roman" w:eastAsia="標楷體" w:hAnsi="Times New Roman" w:cs="Times New Roman"/>
                <w:sz w:val="24"/>
                <w:szCs w:val="24"/>
              </w:rPr>
              <w:t>表面處理</w:t>
            </w:r>
            <w:r w:rsidR="005A2D1C">
              <w:rPr>
                <w:rFonts w:ascii="Times New Roman" w:eastAsia="標楷體" w:hAnsi="Times New Roman" w:cs="Times New Roman" w:hint="eastAsia"/>
                <w:sz w:val="24"/>
                <w:szCs w:val="24"/>
              </w:rPr>
              <w:t>公司</w:t>
            </w:r>
            <w:r w:rsidRPr="00880632">
              <w:rPr>
                <w:rFonts w:ascii="Times New Roman" w:eastAsia="標楷體" w:hAnsi="Times New Roman" w:cs="Times New Roman"/>
                <w:sz w:val="24"/>
                <w:szCs w:val="24"/>
              </w:rPr>
              <w:t>AST Products, Inc.</w:t>
            </w:r>
            <w:r w:rsidRPr="00880632">
              <w:rPr>
                <w:rFonts w:ascii="Times New Roman" w:eastAsia="標楷體" w:hAnsi="Times New Roman" w:cs="Times New Roman"/>
                <w:sz w:val="24"/>
                <w:szCs w:val="24"/>
              </w:rPr>
              <w:t>經營團隊</w:t>
            </w:r>
            <w:r w:rsidR="005A2D1C">
              <w:rPr>
                <w:rFonts w:ascii="Times New Roman" w:eastAsia="標楷體" w:hAnsi="Times New Roman" w:cs="Times New Roman" w:hint="eastAsia"/>
                <w:sz w:val="24"/>
                <w:szCs w:val="24"/>
              </w:rPr>
              <w:t>，</w:t>
            </w:r>
            <w:r w:rsidRPr="00880632">
              <w:rPr>
                <w:rFonts w:ascii="Times New Roman" w:eastAsia="標楷體" w:hAnsi="Times New Roman" w:cs="Times New Roman"/>
                <w:sz w:val="24"/>
                <w:szCs w:val="24"/>
              </w:rPr>
              <w:t>以多年在美國累積眼科相關專業技術與經驗，於</w:t>
            </w:r>
            <w:r w:rsidRPr="00880632">
              <w:rPr>
                <w:rFonts w:ascii="Times New Roman" w:eastAsia="標楷體" w:hAnsi="Times New Roman" w:cs="Times New Roman"/>
                <w:sz w:val="24"/>
                <w:szCs w:val="24"/>
              </w:rPr>
              <w:t>2011</w:t>
            </w:r>
            <w:r w:rsidRPr="00880632">
              <w:rPr>
                <w:rFonts w:ascii="Times New Roman" w:eastAsia="標楷體" w:hAnsi="Times New Roman" w:cs="Times New Roman"/>
                <w:sz w:val="24"/>
                <w:szCs w:val="24"/>
              </w:rPr>
              <w:t>年在台灣成立應用奈米醫材科技股份有限公司，專注於眼科高階醫療器材研發、製造及銷售，本集團擁有高階植入式眼科醫療器材與光</w:t>
            </w:r>
            <w:r w:rsidRPr="00880632">
              <w:rPr>
                <w:rFonts w:ascii="Times New Roman" w:eastAsia="標楷體" w:hAnsi="Times New Roman" w:cs="Times New Roman"/>
                <w:sz w:val="24"/>
                <w:szCs w:val="24"/>
              </w:rPr>
              <w:lastRenderedPageBreak/>
              <w:t>學設計開發團隊，除在美國持續精研眼科醫材先進領域，並為台灣第一家跨足國際市場之人工水晶體及其植入系統製造及銷售服務領導廠商。</w:t>
            </w:r>
          </w:p>
          <w:p w:rsidR="00880632" w:rsidRPr="00037D5F" w:rsidRDefault="00880632" w:rsidP="00880632">
            <w:pPr>
              <w:pStyle w:val="HTML"/>
              <w:spacing w:line="240" w:lineRule="exact"/>
              <w:rPr>
                <w:rFonts w:ascii="Times New Roman" w:eastAsia="標楷體" w:hAnsi="Times New Roman" w:cs="Times New Roman"/>
                <w:sz w:val="18"/>
                <w:szCs w:val="18"/>
              </w:rPr>
            </w:pPr>
          </w:p>
          <w:p w:rsidR="00880632" w:rsidRPr="00880632" w:rsidRDefault="00880632" w:rsidP="00880632">
            <w:pPr>
              <w:pStyle w:val="HTML"/>
              <w:spacing w:line="240" w:lineRule="exact"/>
              <w:rPr>
                <w:rFonts w:ascii="Times New Roman" w:eastAsia="標楷體" w:hAnsi="Times New Roman" w:cs="Times New Roman"/>
                <w:sz w:val="24"/>
                <w:szCs w:val="24"/>
              </w:rPr>
            </w:pPr>
            <w:r w:rsidRPr="00880632">
              <w:rPr>
                <w:rFonts w:ascii="Times New Roman" w:eastAsia="標楷體" w:hAnsi="Times New Roman" w:cs="Times New Roman" w:hint="eastAsia"/>
                <w:sz w:val="24"/>
                <w:szCs w:val="24"/>
              </w:rPr>
              <w:t xml:space="preserve">    </w:t>
            </w:r>
            <w:r w:rsidRPr="00880632">
              <w:rPr>
                <w:rFonts w:ascii="Times New Roman" w:eastAsia="標楷體" w:hAnsi="Times New Roman" w:cs="Times New Roman"/>
                <w:sz w:val="24"/>
                <w:szCs w:val="24"/>
              </w:rPr>
              <w:t>本集團為落實生技醫療產業根植台灣的經營理念，進駐竹北生物醫學園區，建立</w:t>
            </w:r>
            <w:r w:rsidRPr="00880632">
              <w:rPr>
                <w:rFonts w:ascii="Times New Roman" w:eastAsia="標楷體" w:hAnsi="Times New Roman" w:cs="Times New Roman"/>
                <w:sz w:val="24"/>
                <w:szCs w:val="24"/>
              </w:rPr>
              <w:t>GMP</w:t>
            </w:r>
            <w:r w:rsidRPr="00880632">
              <w:rPr>
                <w:rFonts w:ascii="Times New Roman" w:eastAsia="標楷體" w:hAnsi="Times New Roman" w:cs="Times New Roman"/>
                <w:sz w:val="24"/>
                <w:szCs w:val="24"/>
              </w:rPr>
              <w:t>廠並成功量產高階非球面人工水晶體與植入器，卓越的品質已獲國際肯定，於</w:t>
            </w:r>
            <w:r w:rsidRPr="00880632">
              <w:rPr>
                <w:rFonts w:ascii="Times New Roman" w:eastAsia="標楷體" w:hAnsi="Times New Roman" w:cs="Times New Roman"/>
                <w:sz w:val="24"/>
                <w:szCs w:val="24"/>
              </w:rPr>
              <w:t>2014</w:t>
            </w:r>
            <w:r w:rsidRPr="00880632">
              <w:rPr>
                <w:rFonts w:ascii="Times New Roman" w:eastAsia="標楷體" w:hAnsi="Times New Roman" w:cs="Times New Roman"/>
                <w:sz w:val="24"/>
                <w:szCs w:val="24"/>
              </w:rPr>
              <w:t>年即取得</w:t>
            </w:r>
            <w:r w:rsidRPr="00880632">
              <w:rPr>
                <w:rFonts w:ascii="Times New Roman" w:eastAsia="標楷體" w:hAnsi="Times New Roman" w:cs="Times New Roman"/>
                <w:sz w:val="24"/>
                <w:szCs w:val="24"/>
              </w:rPr>
              <w:t>ISO9001</w:t>
            </w:r>
            <w:r w:rsidRPr="00880632">
              <w:rPr>
                <w:rFonts w:ascii="Times New Roman" w:eastAsia="標楷體" w:hAnsi="Times New Roman" w:cs="Times New Roman"/>
                <w:sz w:val="24"/>
                <w:szCs w:val="24"/>
              </w:rPr>
              <w:t>、</w:t>
            </w:r>
            <w:r w:rsidRPr="00880632">
              <w:rPr>
                <w:rFonts w:ascii="Times New Roman" w:eastAsia="標楷體" w:hAnsi="Times New Roman" w:cs="Times New Roman"/>
                <w:sz w:val="24"/>
                <w:szCs w:val="24"/>
              </w:rPr>
              <w:t xml:space="preserve"> ISO13485</w:t>
            </w:r>
            <w:r w:rsidRPr="00880632">
              <w:rPr>
                <w:rFonts w:ascii="Times New Roman" w:eastAsia="標楷體" w:hAnsi="Times New Roman" w:cs="Times New Roman"/>
                <w:sz w:val="24"/>
                <w:szCs w:val="24"/>
              </w:rPr>
              <w:t>與我國衛生福利部</w:t>
            </w:r>
            <w:r w:rsidRPr="00880632">
              <w:rPr>
                <w:rFonts w:ascii="Times New Roman" w:eastAsia="標楷體" w:hAnsi="Times New Roman" w:cs="Times New Roman"/>
                <w:sz w:val="24"/>
                <w:szCs w:val="24"/>
              </w:rPr>
              <w:t>GMP</w:t>
            </w:r>
            <w:r w:rsidRPr="00880632">
              <w:rPr>
                <w:rFonts w:ascii="Times New Roman" w:eastAsia="標楷體" w:hAnsi="Times New Roman" w:cs="Times New Roman"/>
                <w:sz w:val="24"/>
                <w:szCs w:val="24"/>
              </w:rPr>
              <w:t>認證，相關產品具高度國際市場競爭力，屢獲歐盟</w:t>
            </w:r>
            <w:r w:rsidRPr="00880632">
              <w:rPr>
                <w:rFonts w:ascii="Times New Roman" w:eastAsia="標楷體" w:hAnsi="Times New Roman" w:cs="Times New Roman"/>
                <w:sz w:val="24"/>
                <w:szCs w:val="24"/>
              </w:rPr>
              <w:t>CE Mark</w:t>
            </w:r>
            <w:r w:rsidRPr="00880632">
              <w:rPr>
                <w:rFonts w:ascii="Times New Roman" w:eastAsia="標楷體" w:hAnsi="Times New Roman" w:cs="Times New Roman"/>
                <w:sz w:val="24"/>
                <w:szCs w:val="24"/>
              </w:rPr>
              <w:t>、美國</w:t>
            </w:r>
            <w:r w:rsidRPr="00880632">
              <w:rPr>
                <w:rFonts w:ascii="Times New Roman" w:eastAsia="標楷體" w:hAnsi="Times New Roman" w:cs="Times New Roman"/>
                <w:sz w:val="24"/>
                <w:szCs w:val="24"/>
              </w:rPr>
              <w:t>FDA510(k)</w:t>
            </w:r>
            <w:r w:rsidRPr="00880632">
              <w:rPr>
                <w:rFonts w:ascii="Times New Roman" w:eastAsia="標楷體" w:hAnsi="Times New Roman" w:cs="Times New Roman"/>
                <w:sz w:val="24"/>
                <w:szCs w:val="24"/>
              </w:rPr>
              <w:t>及台灣</w:t>
            </w:r>
            <w:r w:rsidRPr="00880632">
              <w:rPr>
                <w:rFonts w:ascii="Times New Roman" w:eastAsia="標楷體" w:hAnsi="Times New Roman" w:cs="Times New Roman"/>
                <w:sz w:val="24"/>
                <w:szCs w:val="24"/>
              </w:rPr>
              <w:t>TFDA</w:t>
            </w:r>
            <w:r w:rsidRPr="00880632">
              <w:rPr>
                <w:rFonts w:ascii="Times New Roman" w:eastAsia="標楷體" w:hAnsi="Times New Roman" w:cs="Times New Roman"/>
                <w:sz w:val="24"/>
                <w:szCs w:val="24"/>
              </w:rPr>
              <w:t>認證核可，本集團銷售策略是以宏觀角度進行全球布局，除將產品成功銷售至歐、美等多國市場，另同時代理銷售國外創新醫療器材，並透過代理業務，進入中國大陸市場，為自有產品未來進軍新興國家奠定穩固基礎。</w:t>
            </w:r>
          </w:p>
          <w:p w:rsidR="00880632" w:rsidRPr="00037D5F" w:rsidRDefault="00880632" w:rsidP="00880632">
            <w:pPr>
              <w:pStyle w:val="HTML"/>
              <w:spacing w:line="240" w:lineRule="exact"/>
              <w:rPr>
                <w:rFonts w:ascii="Times New Roman" w:eastAsia="標楷體" w:hAnsi="Times New Roman" w:cs="Times New Roman"/>
                <w:sz w:val="18"/>
                <w:szCs w:val="18"/>
              </w:rPr>
            </w:pPr>
          </w:p>
          <w:p w:rsidR="00161123" w:rsidRPr="00880632" w:rsidRDefault="00880632" w:rsidP="007503C9">
            <w:pPr>
              <w:pStyle w:val="HTML"/>
              <w:spacing w:line="240" w:lineRule="exact"/>
              <w:rPr>
                <w:rFonts w:ascii="新細明體" w:hAnsi="新細明體"/>
              </w:rPr>
            </w:pPr>
            <w:r w:rsidRPr="00880632">
              <w:rPr>
                <w:rFonts w:ascii="Times New Roman" w:eastAsia="標楷體" w:hAnsi="Times New Roman" w:cs="Times New Roman" w:hint="eastAsia"/>
                <w:sz w:val="24"/>
                <w:szCs w:val="24"/>
              </w:rPr>
              <w:t xml:space="preserve">    </w:t>
            </w:r>
            <w:r w:rsidRPr="00880632">
              <w:rPr>
                <w:rFonts w:ascii="Times New Roman" w:eastAsia="標楷體" w:hAnsi="Times New Roman" w:cs="Times New Roman"/>
                <w:sz w:val="24"/>
                <w:szCs w:val="24"/>
              </w:rPr>
              <w:t>展望未來除將持續引進國外先進的設備並保持高水準製程品質，以生產符合國際標準的眼科醫材產品，此外更全心關注產業發展趨勢，研發一系列白內障手術用高階功能性人工水晶體與預載式人工水晶體植入系統等產品。而在經營模式上則致力於滿足顧客多元化的需求，除拓展自有品牌外，並積極與國外醫療器材廠商進行策略聯盟及</w:t>
            </w:r>
            <w:r w:rsidRPr="00880632">
              <w:rPr>
                <w:rFonts w:ascii="Times New Roman" w:eastAsia="標楷體" w:hAnsi="Times New Roman" w:cs="Times New Roman"/>
                <w:sz w:val="24"/>
                <w:szCs w:val="24"/>
              </w:rPr>
              <w:t>OEM</w:t>
            </w:r>
            <w:r w:rsidRPr="00880632">
              <w:rPr>
                <w:rFonts w:ascii="Times New Roman" w:eastAsia="標楷體" w:hAnsi="Times New Roman" w:cs="Times New Roman"/>
                <w:sz w:val="24"/>
                <w:szCs w:val="24"/>
              </w:rPr>
              <w:t>、</w:t>
            </w:r>
            <w:r w:rsidRPr="00880632">
              <w:rPr>
                <w:rFonts w:ascii="Times New Roman" w:eastAsia="標楷體" w:hAnsi="Times New Roman" w:cs="Times New Roman"/>
                <w:sz w:val="24"/>
                <w:szCs w:val="24"/>
              </w:rPr>
              <w:t>ODM</w:t>
            </w:r>
            <w:r w:rsidRPr="00880632">
              <w:rPr>
                <w:rFonts w:ascii="Times New Roman" w:eastAsia="標楷體" w:hAnsi="Times New Roman" w:cs="Times New Roman"/>
                <w:sz w:val="24"/>
                <w:szCs w:val="24"/>
              </w:rPr>
              <w:t>合作，以提昇自有的研發實力。</w:t>
            </w:r>
          </w:p>
        </w:tc>
      </w:tr>
    </w:tbl>
    <w:p w:rsidR="00161123" w:rsidRDefault="00161123">
      <w:pPr>
        <w:jc w:val="both"/>
        <w:rPr>
          <w:rFonts w:ascii="新細明體" w:hAnsi="新細明體"/>
        </w:rPr>
      </w:pPr>
      <w:r>
        <w:rPr>
          <w:rFonts w:ascii="新細明體" w:hAnsi="新細明體" w:hint="eastAsia"/>
        </w:rPr>
        <w:lastRenderedPageBreak/>
        <w:t xml:space="preserve">                                                                          </w:t>
      </w:r>
      <w:hyperlink w:anchor="第一頁" w:history="1">
        <w:r w:rsidR="001F4C92" w:rsidRPr="001F4C92">
          <w:rPr>
            <w:rFonts w:ascii="新細明體" w:hAnsi="新細明體"/>
          </w:rPr>
          <w:pict>
            <v:shape id="_x0000_i1026" type="#_x0000_t75" style="width:32.25pt;height:12pt">
              <v:imagedata r:id="rId16" o:title="icon_top"/>
            </v:shape>
          </w:pict>
        </w:r>
      </w:hyperlink>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4"/>
        <w:gridCol w:w="1849"/>
        <w:gridCol w:w="3645"/>
        <w:gridCol w:w="1800"/>
        <w:gridCol w:w="1260"/>
      </w:tblGrid>
      <w:tr w:rsidR="00161123">
        <w:trPr>
          <w:cantSplit/>
        </w:trPr>
        <w:tc>
          <w:tcPr>
            <w:tcW w:w="9568" w:type="dxa"/>
            <w:gridSpan w:val="5"/>
          </w:tcPr>
          <w:p w:rsidR="00161123" w:rsidRDefault="001F4C92" w:rsidP="003A1E34">
            <w:pPr>
              <w:spacing w:beforeLines="50"/>
              <w:rPr>
                <w:rFonts w:ascii="新細明體" w:hAnsi="新細明體"/>
                <w:b/>
                <w:bCs/>
              </w:rPr>
            </w:pPr>
            <w:bookmarkStart w:id="3" w:name="主要業務項目"/>
            <w:bookmarkEnd w:id="3"/>
            <w:r w:rsidRPr="001F4C92">
              <w:rPr>
                <w:rFonts w:ascii="新細明體" w:hAnsi="新細明體"/>
                <w:noProof/>
                <w:sz w:val="20"/>
                <w:szCs w:val="26"/>
              </w:rPr>
              <w:pict>
                <v:shape id="_x0000_s1078" type="#_x0000_t202" style="position:absolute;margin-left:-1.1pt;margin-top:-.45pt;width:477pt;height:44.45pt;z-index:-12" fillcolor="#ededed" stroked="f">
                  <v:fill rotate="t" focus="50%" type="gradient"/>
                  <v:textbox style="mso-next-textbox:#_x0000_s1078">
                    <w:txbxContent>
                      <w:p w:rsidR="00161123" w:rsidRDefault="00161123"/>
                    </w:txbxContent>
                  </v:textbox>
                </v:shape>
              </w:pict>
            </w:r>
            <w:r w:rsidR="00161123">
              <w:rPr>
                <w:rFonts w:ascii="新細明體" w:hAnsi="新細明體" w:hint="eastAsia"/>
                <w:b/>
                <w:bCs/>
              </w:rPr>
              <w:t>主要</w:t>
            </w:r>
            <w:r w:rsidR="00161123">
              <w:rPr>
                <w:rFonts w:ascii="新細明體" w:hAnsi="新細明體"/>
                <w:b/>
                <w:bCs/>
              </w:rPr>
              <w:t>業務</w:t>
            </w:r>
            <w:r w:rsidR="00161123">
              <w:rPr>
                <w:rFonts w:ascii="新細明體" w:hAnsi="新細明體" w:hint="eastAsia"/>
                <w:b/>
                <w:bCs/>
              </w:rPr>
              <w:t>項目</w:t>
            </w:r>
            <w:r w:rsidR="00161123">
              <w:rPr>
                <w:rFonts w:ascii="新細明體" w:hAnsi="新細明體"/>
                <w:b/>
                <w:bCs/>
              </w:rPr>
              <w:t>：</w:t>
            </w:r>
          </w:p>
          <w:p w:rsidR="00161123" w:rsidRPr="00880632" w:rsidRDefault="00880632" w:rsidP="003A1E34">
            <w:pPr>
              <w:spacing w:afterLines="50" w:line="300" w:lineRule="exact"/>
              <w:ind w:firstLineChars="200" w:firstLine="480"/>
              <w:rPr>
                <w:rFonts w:ascii="標楷體" w:eastAsia="標楷體" w:hAnsi="標楷體"/>
                <w:b/>
              </w:rPr>
            </w:pPr>
            <w:r w:rsidRPr="00880632">
              <w:rPr>
                <w:rFonts w:ascii="標楷體" w:eastAsia="標楷體" w:hAnsi="標楷體" w:hint="eastAsia"/>
                <w:b/>
                <w:snapToGrid w:val="0"/>
              </w:rPr>
              <w:t>人工水晶體及其植入系統、眼科及奈米醫材產品之研發、製造及銷售</w:t>
            </w:r>
            <w:r w:rsidR="00161123" w:rsidRPr="00880632">
              <w:rPr>
                <w:rFonts w:ascii="標楷體" w:eastAsia="標楷體" w:hAnsi="標楷體"/>
                <w:b/>
                <w:snapToGrid w:val="0"/>
              </w:rPr>
              <w:t>。</w:t>
            </w:r>
            <w:r w:rsidR="00161123" w:rsidRPr="00880632">
              <w:rPr>
                <w:rFonts w:ascii="標楷體" w:eastAsia="標楷體" w:hAnsi="標楷體"/>
                <w:b/>
              </w:rPr>
              <w:t xml:space="preserve">                                          </w:t>
            </w:r>
          </w:p>
        </w:tc>
      </w:tr>
      <w:tr w:rsidR="00161123" w:rsidTr="007503C9">
        <w:trPr>
          <w:cantSplit/>
          <w:trHeight w:val="3662"/>
        </w:trPr>
        <w:tc>
          <w:tcPr>
            <w:tcW w:w="9568" w:type="dxa"/>
            <w:gridSpan w:val="5"/>
            <w:vAlign w:val="center"/>
          </w:tcPr>
          <w:p w:rsidR="00161123" w:rsidRDefault="00161123">
            <w:pPr>
              <w:jc w:val="both"/>
              <w:rPr>
                <w:rFonts w:ascii="新細明體" w:hAnsi="新細明體"/>
                <w:sz w:val="20"/>
                <w:szCs w:val="26"/>
              </w:rPr>
            </w:pPr>
            <w:r>
              <w:rPr>
                <w:rFonts w:ascii="新細明體" w:hAnsi="新細明體"/>
                <w:sz w:val="20"/>
                <w:szCs w:val="26"/>
              </w:rPr>
              <w:t>公司所屬產業之上、中、下游結構圖：</w:t>
            </w:r>
          </w:p>
          <w:p w:rsidR="00161123" w:rsidRDefault="001F4C92" w:rsidP="00037D5F">
            <w:pPr>
              <w:jc w:val="both"/>
              <w:rPr>
                <w:rFonts w:ascii="新細明體" w:hAnsi="新細明體"/>
                <w:sz w:val="20"/>
                <w:szCs w:val="26"/>
              </w:rPr>
            </w:pPr>
            <w:r w:rsidRPr="001F4C92">
              <w:rPr>
                <w:rFonts w:ascii="新細明體" w:hAnsi="新細明體"/>
                <w:sz w:val="20"/>
                <w:szCs w:val="26"/>
              </w:rPr>
              <w:pict>
                <v:shape id="_x0000_i1027" type="#_x0000_t75" style="width:298.5pt;height:153pt;mso-position-horizontal-relative:char;mso-position-vertical-relative:line">
                  <v:imagedata r:id="rId17" o:title=""/>
                </v:shape>
              </w:pict>
            </w:r>
          </w:p>
        </w:tc>
      </w:tr>
      <w:tr w:rsidR="00161123" w:rsidTr="007503C9">
        <w:tc>
          <w:tcPr>
            <w:tcW w:w="1014" w:type="dxa"/>
            <w:shd w:val="clear" w:color="auto" w:fill="F9F9F9"/>
            <w:vAlign w:val="center"/>
          </w:tcPr>
          <w:p w:rsidR="00161123" w:rsidRPr="00037D5F" w:rsidRDefault="00161123">
            <w:pPr>
              <w:snapToGrid w:val="0"/>
              <w:spacing w:line="300" w:lineRule="exact"/>
              <w:jc w:val="distribute"/>
              <w:rPr>
                <w:rFonts w:ascii="標楷體" w:eastAsia="標楷體" w:hAnsi="標楷體"/>
                <w:sz w:val="20"/>
                <w:szCs w:val="26"/>
              </w:rPr>
            </w:pPr>
            <w:r w:rsidRPr="00037D5F">
              <w:rPr>
                <w:rFonts w:ascii="標楷體" w:eastAsia="標楷體" w:hAnsi="標楷體"/>
                <w:sz w:val="20"/>
                <w:szCs w:val="26"/>
              </w:rPr>
              <w:t>產品名稱</w:t>
            </w:r>
          </w:p>
        </w:tc>
        <w:tc>
          <w:tcPr>
            <w:tcW w:w="1849" w:type="dxa"/>
            <w:shd w:val="clear" w:color="auto" w:fill="F9F9F9"/>
            <w:vAlign w:val="center"/>
          </w:tcPr>
          <w:p w:rsidR="00161123" w:rsidRPr="00037D5F" w:rsidRDefault="00161123">
            <w:pPr>
              <w:pStyle w:val="a3"/>
              <w:spacing w:line="300" w:lineRule="exact"/>
              <w:rPr>
                <w:rFonts w:ascii="標楷體" w:hAnsi="標楷體"/>
                <w:sz w:val="20"/>
                <w:szCs w:val="26"/>
              </w:rPr>
            </w:pPr>
            <w:r w:rsidRPr="00037D5F">
              <w:rPr>
                <w:rFonts w:ascii="標楷體" w:hAnsi="標楷體"/>
                <w:sz w:val="20"/>
                <w:szCs w:val="26"/>
              </w:rPr>
              <w:t>產品圖示</w:t>
            </w:r>
          </w:p>
          <w:p w:rsidR="00161123" w:rsidRPr="00037D5F" w:rsidRDefault="00161123">
            <w:pPr>
              <w:pStyle w:val="a3"/>
              <w:spacing w:line="300" w:lineRule="exact"/>
              <w:rPr>
                <w:rFonts w:ascii="標楷體" w:hAnsi="標楷體"/>
                <w:sz w:val="20"/>
                <w:szCs w:val="26"/>
              </w:rPr>
            </w:pPr>
            <w:r w:rsidRPr="00037D5F">
              <w:rPr>
                <w:rFonts w:ascii="標楷體" w:hAnsi="標楷體"/>
                <w:sz w:val="20"/>
                <w:szCs w:val="26"/>
              </w:rPr>
              <w:t>及介紹</w:t>
            </w:r>
          </w:p>
        </w:tc>
        <w:tc>
          <w:tcPr>
            <w:tcW w:w="3645" w:type="dxa"/>
            <w:shd w:val="clear" w:color="auto" w:fill="F9F9F9"/>
            <w:vAlign w:val="center"/>
          </w:tcPr>
          <w:p w:rsidR="00161123" w:rsidRPr="00037D5F" w:rsidRDefault="00161123">
            <w:pPr>
              <w:pStyle w:val="a3"/>
              <w:spacing w:line="300" w:lineRule="exact"/>
              <w:rPr>
                <w:rFonts w:ascii="標楷體" w:hAnsi="標楷體"/>
                <w:sz w:val="20"/>
                <w:szCs w:val="26"/>
              </w:rPr>
            </w:pPr>
            <w:r w:rsidRPr="00037D5F">
              <w:rPr>
                <w:rFonts w:ascii="標楷體" w:hAnsi="標楷體"/>
                <w:sz w:val="20"/>
                <w:szCs w:val="26"/>
              </w:rPr>
              <w:t>重要用途或功能</w:t>
            </w:r>
          </w:p>
        </w:tc>
        <w:tc>
          <w:tcPr>
            <w:tcW w:w="1800" w:type="dxa"/>
            <w:shd w:val="clear" w:color="auto" w:fill="F9F9F9"/>
          </w:tcPr>
          <w:p w:rsidR="00161123" w:rsidRPr="00037D5F" w:rsidRDefault="00161123">
            <w:pPr>
              <w:jc w:val="center"/>
              <w:rPr>
                <w:rFonts w:ascii="標楷體" w:eastAsia="標楷體" w:hAnsi="標楷體"/>
                <w:sz w:val="20"/>
                <w:szCs w:val="26"/>
              </w:rPr>
            </w:pPr>
            <w:r w:rsidRPr="00037D5F">
              <w:rPr>
                <w:rFonts w:ascii="標楷體" w:eastAsia="標楷體" w:hAnsi="標楷體" w:hint="eastAsia"/>
                <w:sz w:val="20"/>
              </w:rPr>
              <w:t>最近一年度</w:t>
            </w:r>
          </w:p>
          <w:p w:rsidR="00161123" w:rsidRPr="00037D5F" w:rsidRDefault="00161123">
            <w:pPr>
              <w:jc w:val="center"/>
              <w:rPr>
                <w:rFonts w:ascii="標楷體" w:eastAsia="標楷體" w:hAnsi="標楷體"/>
                <w:sz w:val="20"/>
              </w:rPr>
            </w:pPr>
            <w:r w:rsidRPr="00037D5F">
              <w:rPr>
                <w:rFonts w:ascii="標楷體" w:eastAsia="標楷體" w:hAnsi="標楷體"/>
                <w:sz w:val="20"/>
                <w:szCs w:val="26"/>
              </w:rPr>
              <w:t>營收金額(仟元)</w:t>
            </w:r>
          </w:p>
        </w:tc>
        <w:tc>
          <w:tcPr>
            <w:tcW w:w="1260" w:type="dxa"/>
            <w:shd w:val="clear" w:color="auto" w:fill="F9F9F9"/>
          </w:tcPr>
          <w:p w:rsidR="00161123" w:rsidRPr="00037D5F" w:rsidRDefault="00161123">
            <w:pPr>
              <w:jc w:val="center"/>
              <w:rPr>
                <w:rFonts w:ascii="標楷體" w:eastAsia="標楷體" w:hAnsi="標楷體"/>
                <w:sz w:val="20"/>
                <w:szCs w:val="26"/>
              </w:rPr>
            </w:pPr>
            <w:r w:rsidRPr="00037D5F">
              <w:rPr>
                <w:rFonts w:ascii="標楷體" w:eastAsia="標楷體" w:hAnsi="標楷體"/>
                <w:sz w:val="20"/>
                <w:szCs w:val="26"/>
              </w:rPr>
              <w:t>佔總營收</w:t>
            </w:r>
          </w:p>
          <w:p w:rsidR="00161123" w:rsidRPr="00037D5F" w:rsidRDefault="00161123">
            <w:pPr>
              <w:jc w:val="center"/>
              <w:rPr>
                <w:rFonts w:ascii="標楷體" w:eastAsia="標楷體" w:hAnsi="標楷體"/>
                <w:sz w:val="20"/>
              </w:rPr>
            </w:pPr>
            <w:r w:rsidRPr="00037D5F">
              <w:rPr>
                <w:rFonts w:ascii="標楷體" w:eastAsia="標楷體" w:hAnsi="標楷體"/>
                <w:sz w:val="20"/>
                <w:szCs w:val="26"/>
              </w:rPr>
              <w:t>比重(%)</w:t>
            </w:r>
          </w:p>
        </w:tc>
      </w:tr>
      <w:tr w:rsidR="00161123" w:rsidTr="00037D5F">
        <w:tc>
          <w:tcPr>
            <w:tcW w:w="1014" w:type="dxa"/>
            <w:vAlign w:val="center"/>
          </w:tcPr>
          <w:p w:rsidR="00161123" w:rsidRPr="00037D5F" w:rsidRDefault="007503C9">
            <w:pPr>
              <w:tabs>
                <w:tab w:val="left" w:leader="dot" w:pos="6804"/>
                <w:tab w:val="right" w:pos="7598"/>
              </w:tabs>
              <w:snapToGrid w:val="0"/>
              <w:spacing w:line="300" w:lineRule="exact"/>
              <w:jc w:val="distribute"/>
              <w:rPr>
                <w:rFonts w:eastAsia="標楷體"/>
                <w:sz w:val="20"/>
              </w:rPr>
            </w:pPr>
            <w:r w:rsidRPr="00037D5F">
              <w:rPr>
                <w:rFonts w:eastAsia="標楷體"/>
                <w:sz w:val="20"/>
              </w:rPr>
              <w:t>銷貨收入</w:t>
            </w:r>
          </w:p>
        </w:tc>
        <w:tc>
          <w:tcPr>
            <w:tcW w:w="1849" w:type="dxa"/>
          </w:tcPr>
          <w:p w:rsidR="00161123" w:rsidRPr="00037D5F" w:rsidRDefault="00037D5F" w:rsidP="00037D5F">
            <w:pPr>
              <w:snapToGrid w:val="0"/>
              <w:spacing w:line="240" w:lineRule="atLeast"/>
              <w:rPr>
                <w:rFonts w:eastAsia="標楷體"/>
                <w:bCs/>
                <w:sz w:val="16"/>
                <w:szCs w:val="16"/>
              </w:rPr>
            </w:pPr>
            <w:r w:rsidRPr="00037D5F">
              <w:rPr>
                <w:rFonts w:eastAsia="標楷體"/>
                <w:bCs/>
                <w:sz w:val="16"/>
                <w:szCs w:val="16"/>
              </w:rPr>
              <w:t>1.</w:t>
            </w:r>
            <w:r w:rsidR="007503C9" w:rsidRPr="00037D5F">
              <w:rPr>
                <w:rFonts w:eastAsia="標楷體"/>
                <w:bCs/>
                <w:sz w:val="16"/>
                <w:szCs w:val="16"/>
              </w:rPr>
              <w:t>人工水晶體及植入系統</w:t>
            </w:r>
          </w:p>
          <w:p w:rsidR="00037D5F" w:rsidRPr="00037D5F" w:rsidRDefault="00037D5F" w:rsidP="00037D5F">
            <w:pPr>
              <w:snapToGrid w:val="0"/>
              <w:spacing w:line="240" w:lineRule="atLeast"/>
              <w:rPr>
                <w:rFonts w:eastAsia="標楷體"/>
                <w:bCs/>
                <w:sz w:val="16"/>
                <w:szCs w:val="16"/>
              </w:rPr>
            </w:pPr>
          </w:p>
          <w:p w:rsidR="00037D5F" w:rsidRPr="00037D5F" w:rsidRDefault="00037D5F" w:rsidP="00037D5F">
            <w:pPr>
              <w:snapToGrid w:val="0"/>
              <w:spacing w:line="240" w:lineRule="atLeast"/>
              <w:rPr>
                <w:rFonts w:eastAsia="標楷體"/>
                <w:bCs/>
                <w:sz w:val="16"/>
                <w:szCs w:val="16"/>
              </w:rPr>
            </w:pPr>
          </w:p>
          <w:p w:rsidR="007503C9" w:rsidRPr="00037D5F" w:rsidRDefault="00037D5F" w:rsidP="00037D5F">
            <w:pPr>
              <w:snapToGrid w:val="0"/>
              <w:spacing w:line="240" w:lineRule="atLeast"/>
              <w:rPr>
                <w:rFonts w:eastAsia="標楷體"/>
                <w:bCs/>
                <w:sz w:val="16"/>
                <w:szCs w:val="16"/>
              </w:rPr>
            </w:pPr>
            <w:r w:rsidRPr="00037D5F">
              <w:rPr>
                <w:rFonts w:eastAsia="標楷體"/>
                <w:bCs/>
                <w:sz w:val="16"/>
                <w:szCs w:val="16"/>
              </w:rPr>
              <w:t>2.</w:t>
            </w:r>
            <w:r w:rsidR="007503C9" w:rsidRPr="00037D5F">
              <w:rPr>
                <w:rFonts w:eastAsia="標楷體"/>
                <w:bCs/>
                <w:sz w:val="16"/>
                <w:szCs w:val="16"/>
              </w:rPr>
              <w:t>醫材檢測設備</w:t>
            </w:r>
          </w:p>
          <w:p w:rsidR="007503C9" w:rsidRPr="00037D5F" w:rsidRDefault="00037D5F" w:rsidP="00037D5F">
            <w:pPr>
              <w:snapToGrid w:val="0"/>
              <w:spacing w:line="240" w:lineRule="atLeast"/>
              <w:rPr>
                <w:rFonts w:eastAsia="標楷體"/>
                <w:bCs/>
                <w:sz w:val="16"/>
                <w:szCs w:val="16"/>
              </w:rPr>
            </w:pPr>
            <w:r w:rsidRPr="00037D5F">
              <w:rPr>
                <w:rFonts w:eastAsia="標楷體"/>
                <w:bCs/>
                <w:sz w:val="16"/>
                <w:szCs w:val="16"/>
              </w:rPr>
              <w:t>3.</w:t>
            </w:r>
            <w:r w:rsidR="007503C9" w:rsidRPr="00037D5F">
              <w:rPr>
                <w:rFonts w:eastAsia="標楷體"/>
                <w:bCs/>
                <w:sz w:val="16"/>
                <w:szCs w:val="16"/>
              </w:rPr>
              <w:t>義乳輔助遞送袋</w:t>
            </w:r>
          </w:p>
          <w:p w:rsidR="007503C9" w:rsidRPr="00037D5F" w:rsidRDefault="00037D5F" w:rsidP="00037D5F">
            <w:pPr>
              <w:snapToGrid w:val="0"/>
              <w:spacing w:line="240" w:lineRule="atLeast"/>
              <w:ind w:left="133" w:hangingChars="83" w:hanging="133"/>
              <w:rPr>
                <w:rFonts w:eastAsia="標楷體"/>
                <w:bCs/>
                <w:sz w:val="16"/>
                <w:szCs w:val="16"/>
              </w:rPr>
            </w:pPr>
            <w:r w:rsidRPr="00037D5F">
              <w:rPr>
                <w:rFonts w:eastAsia="標楷體"/>
                <w:bCs/>
                <w:sz w:val="16"/>
                <w:szCs w:val="16"/>
              </w:rPr>
              <w:t>4.</w:t>
            </w:r>
            <w:r w:rsidR="007503C9" w:rsidRPr="00037D5F">
              <w:rPr>
                <w:rFonts w:eastAsia="標楷體"/>
                <w:bCs/>
                <w:sz w:val="16"/>
                <w:szCs w:val="16"/>
              </w:rPr>
              <w:t>醫材表面潤滑塗佈技術服務</w:t>
            </w:r>
          </w:p>
          <w:p w:rsidR="00037D5F" w:rsidRPr="00037D5F" w:rsidRDefault="00037D5F" w:rsidP="00037D5F">
            <w:pPr>
              <w:snapToGrid w:val="0"/>
              <w:spacing w:line="240" w:lineRule="atLeast"/>
              <w:rPr>
                <w:rFonts w:eastAsia="標楷體"/>
                <w:bCs/>
                <w:sz w:val="16"/>
                <w:szCs w:val="16"/>
              </w:rPr>
            </w:pPr>
          </w:p>
          <w:p w:rsidR="007503C9" w:rsidRPr="00037D5F" w:rsidRDefault="007503C9" w:rsidP="00037D5F">
            <w:pPr>
              <w:snapToGrid w:val="0"/>
              <w:spacing w:line="240" w:lineRule="atLeast"/>
              <w:rPr>
                <w:rFonts w:eastAsia="標楷體"/>
                <w:b/>
                <w:bCs/>
                <w:sz w:val="18"/>
                <w:szCs w:val="18"/>
              </w:rPr>
            </w:pPr>
            <w:r w:rsidRPr="00037D5F">
              <w:rPr>
                <w:rFonts w:eastAsia="標楷體"/>
                <w:bCs/>
                <w:sz w:val="16"/>
                <w:szCs w:val="16"/>
              </w:rPr>
              <w:t>5.</w:t>
            </w:r>
            <w:r w:rsidRPr="00037D5F">
              <w:rPr>
                <w:rFonts w:eastAsia="標楷體"/>
                <w:bCs/>
                <w:sz w:val="16"/>
                <w:szCs w:val="16"/>
              </w:rPr>
              <w:t>醫材表面潤滑塗佈溶液</w:t>
            </w:r>
          </w:p>
        </w:tc>
        <w:tc>
          <w:tcPr>
            <w:tcW w:w="3645" w:type="dxa"/>
            <w:vAlign w:val="center"/>
          </w:tcPr>
          <w:p w:rsidR="00037D5F" w:rsidRPr="00037D5F" w:rsidRDefault="00037D5F" w:rsidP="00037D5F">
            <w:pPr>
              <w:snapToGrid w:val="0"/>
              <w:spacing w:line="240" w:lineRule="atLeast"/>
              <w:ind w:left="118" w:hangingChars="74" w:hanging="118"/>
              <w:rPr>
                <w:rFonts w:eastAsia="標楷體"/>
                <w:sz w:val="16"/>
                <w:szCs w:val="16"/>
              </w:rPr>
            </w:pPr>
            <w:r w:rsidRPr="00037D5F">
              <w:rPr>
                <w:rFonts w:eastAsia="標楷體"/>
                <w:sz w:val="16"/>
                <w:szCs w:val="16"/>
              </w:rPr>
              <w:t>1.</w:t>
            </w:r>
            <w:r w:rsidRPr="00037D5F">
              <w:rPr>
                <w:rFonts w:eastAsia="標楷體"/>
                <w:sz w:val="16"/>
                <w:szCs w:val="16"/>
              </w:rPr>
              <w:t>用於白內障手術中，人工水晶體為取代混濁的水晶體，以凝聚光線，矯正視力，植入器則是輔助人工水晶體可順利置入眼內。</w:t>
            </w:r>
          </w:p>
          <w:p w:rsidR="00037D5F" w:rsidRPr="00037D5F" w:rsidRDefault="00037D5F" w:rsidP="00037D5F">
            <w:pPr>
              <w:snapToGrid w:val="0"/>
              <w:spacing w:line="240" w:lineRule="atLeast"/>
              <w:rPr>
                <w:rFonts w:eastAsia="標楷體"/>
                <w:sz w:val="16"/>
                <w:szCs w:val="16"/>
              </w:rPr>
            </w:pPr>
            <w:r w:rsidRPr="00037D5F">
              <w:rPr>
                <w:rFonts w:eastAsia="標楷體"/>
                <w:sz w:val="16"/>
                <w:szCs w:val="16"/>
              </w:rPr>
              <w:t>2.</w:t>
            </w:r>
            <w:r w:rsidRPr="00037D5F">
              <w:rPr>
                <w:rFonts w:eastAsia="標楷體"/>
                <w:sz w:val="16"/>
                <w:szCs w:val="16"/>
              </w:rPr>
              <w:t>醫療器材表面性質</w:t>
            </w:r>
            <w:r w:rsidR="00752F8B">
              <w:rPr>
                <w:rFonts w:eastAsia="標楷體" w:hint="eastAsia"/>
                <w:sz w:val="16"/>
                <w:szCs w:val="16"/>
              </w:rPr>
              <w:t>之</w:t>
            </w:r>
            <w:r w:rsidRPr="00037D5F">
              <w:rPr>
                <w:rFonts w:eastAsia="標楷體"/>
                <w:sz w:val="16"/>
                <w:szCs w:val="16"/>
              </w:rPr>
              <w:t>量測設備。</w:t>
            </w:r>
          </w:p>
          <w:p w:rsidR="00037D5F" w:rsidRPr="00037D5F" w:rsidRDefault="00037D5F" w:rsidP="00037D5F">
            <w:pPr>
              <w:snapToGrid w:val="0"/>
              <w:spacing w:line="240" w:lineRule="atLeast"/>
              <w:rPr>
                <w:rFonts w:eastAsia="標楷體"/>
                <w:sz w:val="16"/>
                <w:szCs w:val="16"/>
              </w:rPr>
            </w:pPr>
            <w:r w:rsidRPr="00037D5F">
              <w:rPr>
                <w:rFonts w:eastAsia="標楷體"/>
                <w:sz w:val="16"/>
                <w:szCs w:val="16"/>
              </w:rPr>
              <w:t>3.</w:t>
            </w:r>
            <w:r w:rsidRPr="00037D5F">
              <w:rPr>
                <w:rFonts w:eastAsia="標楷體"/>
                <w:sz w:val="16"/>
                <w:szCs w:val="16"/>
              </w:rPr>
              <w:t>用於義乳植入手術中，輔助義乳順利置入體內用。</w:t>
            </w:r>
          </w:p>
          <w:p w:rsidR="00037D5F" w:rsidRPr="00037D5F" w:rsidRDefault="00037D5F" w:rsidP="00037D5F">
            <w:pPr>
              <w:snapToGrid w:val="0"/>
              <w:spacing w:line="240" w:lineRule="atLeast"/>
              <w:ind w:left="118" w:hangingChars="74" w:hanging="118"/>
              <w:rPr>
                <w:rFonts w:eastAsia="標楷體"/>
                <w:sz w:val="16"/>
                <w:szCs w:val="16"/>
              </w:rPr>
            </w:pPr>
            <w:r w:rsidRPr="00037D5F">
              <w:rPr>
                <w:rFonts w:eastAsia="標楷體"/>
                <w:sz w:val="16"/>
                <w:szCs w:val="16"/>
              </w:rPr>
              <w:t>4.</w:t>
            </w:r>
            <w:r w:rsidRPr="00037D5F">
              <w:rPr>
                <w:rFonts w:eastAsia="標楷體"/>
                <w:sz w:val="16"/>
                <w:szCs w:val="16"/>
              </w:rPr>
              <w:t>應用於植入式醫材表面處理，以獲得潤滑性良好表面，增加產品適用範圍、延長其使用壽命及改善其使用效果等。</w:t>
            </w:r>
          </w:p>
          <w:p w:rsidR="00161123" w:rsidRPr="00037D5F" w:rsidRDefault="00037D5F" w:rsidP="00583E72">
            <w:pPr>
              <w:snapToGrid w:val="0"/>
              <w:spacing w:line="240" w:lineRule="atLeast"/>
              <w:ind w:left="118" w:hangingChars="74" w:hanging="118"/>
              <w:rPr>
                <w:rFonts w:eastAsia="標楷體"/>
                <w:sz w:val="20"/>
                <w:szCs w:val="26"/>
              </w:rPr>
            </w:pPr>
            <w:r w:rsidRPr="00037D5F">
              <w:rPr>
                <w:rFonts w:eastAsia="標楷體"/>
                <w:sz w:val="16"/>
                <w:szCs w:val="16"/>
              </w:rPr>
              <w:t>5.</w:t>
            </w:r>
            <w:r w:rsidRPr="00037D5F">
              <w:rPr>
                <w:rFonts w:eastAsia="標楷體"/>
                <w:sz w:val="16"/>
                <w:szCs w:val="16"/>
              </w:rPr>
              <w:t>潤滑塗佈技術服務過程中</w:t>
            </w:r>
            <w:r w:rsidR="00583E72">
              <w:rPr>
                <w:rFonts w:eastAsia="標楷體" w:hint="eastAsia"/>
                <w:sz w:val="16"/>
                <w:szCs w:val="16"/>
              </w:rPr>
              <w:t>，</w:t>
            </w:r>
            <w:r w:rsidR="00752F8B">
              <w:rPr>
                <w:rFonts w:eastAsia="標楷體" w:hint="eastAsia"/>
                <w:sz w:val="16"/>
                <w:szCs w:val="16"/>
              </w:rPr>
              <w:t>銷售</w:t>
            </w:r>
            <w:r w:rsidRPr="00037D5F">
              <w:rPr>
                <w:rFonts w:eastAsia="標楷體"/>
                <w:sz w:val="16"/>
                <w:szCs w:val="16"/>
              </w:rPr>
              <w:t>獨家配方</w:t>
            </w:r>
            <w:r w:rsidR="00583E72">
              <w:rPr>
                <w:rFonts w:eastAsia="標楷體" w:hint="eastAsia"/>
                <w:sz w:val="16"/>
                <w:szCs w:val="16"/>
              </w:rPr>
              <w:t>之</w:t>
            </w:r>
            <w:r w:rsidR="00752F8B">
              <w:rPr>
                <w:rFonts w:eastAsia="標楷體" w:hint="eastAsia"/>
                <w:sz w:val="16"/>
                <w:szCs w:val="16"/>
              </w:rPr>
              <w:t>潤滑</w:t>
            </w:r>
            <w:r w:rsidRPr="00037D5F">
              <w:rPr>
                <w:rFonts w:eastAsia="標楷體"/>
                <w:sz w:val="16"/>
                <w:szCs w:val="16"/>
              </w:rPr>
              <w:t>溶液。</w:t>
            </w:r>
          </w:p>
        </w:tc>
        <w:tc>
          <w:tcPr>
            <w:tcW w:w="1800" w:type="dxa"/>
            <w:vAlign w:val="center"/>
          </w:tcPr>
          <w:p w:rsidR="00161123" w:rsidRPr="00037D5F" w:rsidRDefault="007503C9">
            <w:pPr>
              <w:pStyle w:val="a4"/>
              <w:spacing w:line="300" w:lineRule="exact"/>
              <w:jc w:val="right"/>
              <w:rPr>
                <w:rFonts w:eastAsia="新細明體"/>
                <w:color w:val="auto"/>
                <w:sz w:val="20"/>
              </w:rPr>
            </w:pPr>
            <w:r w:rsidRPr="00037D5F">
              <w:rPr>
                <w:rFonts w:eastAsia="新細明體"/>
                <w:color w:val="auto"/>
                <w:sz w:val="20"/>
              </w:rPr>
              <w:t>141,047</w:t>
            </w:r>
          </w:p>
        </w:tc>
        <w:tc>
          <w:tcPr>
            <w:tcW w:w="1260" w:type="dxa"/>
            <w:vAlign w:val="center"/>
          </w:tcPr>
          <w:p w:rsidR="00161123" w:rsidRPr="00037D5F" w:rsidRDefault="007503C9" w:rsidP="007503C9">
            <w:pPr>
              <w:pStyle w:val="a4"/>
              <w:spacing w:line="300" w:lineRule="exact"/>
              <w:jc w:val="right"/>
              <w:rPr>
                <w:rFonts w:eastAsia="新細明體"/>
                <w:color w:val="auto"/>
                <w:sz w:val="20"/>
              </w:rPr>
            </w:pPr>
            <w:r w:rsidRPr="00037D5F">
              <w:rPr>
                <w:rFonts w:eastAsia="新細明體"/>
                <w:color w:val="auto"/>
                <w:sz w:val="20"/>
              </w:rPr>
              <w:t>64.93</w:t>
            </w:r>
          </w:p>
        </w:tc>
      </w:tr>
      <w:tr w:rsidR="00161123" w:rsidTr="007503C9">
        <w:tc>
          <w:tcPr>
            <w:tcW w:w="1014" w:type="dxa"/>
            <w:vAlign w:val="center"/>
          </w:tcPr>
          <w:p w:rsidR="00161123" w:rsidRPr="00583E72" w:rsidRDefault="007503C9" w:rsidP="007503C9">
            <w:pPr>
              <w:tabs>
                <w:tab w:val="left" w:leader="dot" w:pos="6804"/>
                <w:tab w:val="right" w:pos="7598"/>
              </w:tabs>
              <w:snapToGrid w:val="0"/>
              <w:spacing w:line="300" w:lineRule="exact"/>
              <w:rPr>
                <w:rFonts w:ascii="標楷體" w:eastAsia="標楷體" w:hAnsi="標楷體"/>
                <w:sz w:val="18"/>
                <w:szCs w:val="18"/>
              </w:rPr>
            </w:pPr>
            <w:r w:rsidRPr="00583E72">
              <w:rPr>
                <w:rFonts w:ascii="標楷體" w:eastAsia="標楷體" w:hAnsi="標楷體" w:hint="eastAsia"/>
                <w:sz w:val="18"/>
                <w:szCs w:val="18"/>
              </w:rPr>
              <w:t>授權金</w:t>
            </w:r>
            <w:r w:rsidR="00583E72" w:rsidRPr="00583E72">
              <w:rPr>
                <w:rFonts w:ascii="標楷體" w:eastAsia="標楷體" w:hAnsi="標楷體" w:hint="eastAsia"/>
                <w:sz w:val="18"/>
                <w:szCs w:val="18"/>
              </w:rPr>
              <w:t>收入</w:t>
            </w:r>
          </w:p>
        </w:tc>
        <w:tc>
          <w:tcPr>
            <w:tcW w:w="1849" w:type="dxa"/>
            <w:vAlign w:val="center"/>
          </w:tcPr>
          <w:p w:rsidR="00161123" w:rsidRPr="00B365A4" w:rsidRDefault="007503C9" w:rsidP="007503C9">
            <w:pPr>
              <w:snapToGrid w:val="0"/>
              <w:spacing w:line="240" w:lineRule="atLeast"/>
              <w:rPr>
                <w:rFonts w:ascii="標楷體" w:eastAsia="標楷體" w:hAnsi="標楷體"/>
                <w:bCs/>
                <w:sz w:val="16"/>
                <w:szCs w:val="16"/>
              </w:rPr>
            </w:pPr>
            <w:r w:rsidRPr="00B365A4">
              <w:rPr>
                <w:rFonts w:ascii="標楷體" w:eastAsia="標楷體" w:hAnsi="標楷體" w:hint="eastAsia"/>
                <w:bCs/>
                <w:sz w:val="16"/>
                <w:szCs w:val="16"/>
              </w:rPr>
              <w:t>醫材表面潤滑塗佈技術授權</w:t>
            </w:r>
          </w:p>
        </w:tc>
        <w:tc>
          <w:tcPr>
            <w:tcW w:w="3645" w:type="dxa"/>
            <w:vAlign w:val="center"/>
          </w:tcPr>
          <w:p w:rsidR="00161123" w:rsidRPr="00B365A4" w:rsidRDefault="00752F8B" w:rsidP="00752F8B">
            <w:pPr>
              <w:snapToGrid w:val="0"/>
              <w:spacing w:line="240" w:lineRule="atLeast"/>
              <w:jc w:val="both"/>
              <w:rPr>
                <w:rFonts w:ascii="新細明體" w:hAnsi="新細明體"/>
                <w:sz w:val="16"/>
                <w:szCs w:val="16"/>
              </w:rPr>
            </w:pPr>
            <w:r w:rsidRPr="00B365A4">
              <w:rPr>
                <w:rFonts w:ascii="標楷體" w:eastAsia="標楷體" w:hAnsi="標楷體" w:hint="eastAsia"/>
                <w:bCs/>
                <w:sz w:val="16"/>
                <w:szCs w:val="16"/>
              </w:rPr>
              <w:t>以收取權利金方式將表面潤滑塗佈技術授權給醫療器材製造廠商。</w:t>
            </w:r>
          </w:p>
        </w:tc>
        <w:tc>
          <w:tcPr>
            <w:tcW w:w="1800" w:type="dxa"/>
            <w:vAlign w:val="center"/>
          </w:tcPr>
          <w:p w:rsidR="00161123" w:rsidRPr="00037D5F" w:rsidRDefault="007503C9">
            <w:pPr>
              <w:pStyle w:val="a4"/>
              <w:spacing w:line="300" w:lineRule="exact"/>
              <w:jc w:val="right"/>
              <w:rPr>
                <w:rFonts w:eastAsia="新細明體"/>
                <w:color w:val="auto"/>
                <w:sz w:val="20"/>
              </w:rPr>
            </w:pPr>
            <w:r w:rsidRPr="00037D5F">
              <w:rPr>
                <w:rFonts w:eastAsia="新細明體"/>
                <w:color w:val="auto"/>
                <w:sz w:val="20"/>
              </w:rPr>
              <w:t>76,197</w:t>
            </w:r>
          </w:p>
        </w:tc>
        <w:tc>
          <w:tcPr>
            <w:tcW w:w="1260" w:type="dxa"/>
            <w:vAlign w:val="center"/>
          </w:tcPr>
          <w:p w:rsidR="00161123" w:rsidRPr="00037D5F" w:rsidRDefault="007503C9">
            <w:pPr>
              <w:pStyle w:val="a4"/>
              <w:spacing w:line="300" w:lineRule="exact"/>
              <w:jc w:val="right"/>
              <w:rPr>
                <w:rFonts w:eastAsia="新細明體"/>
                <w:color w:val="auto"/>
                <w:sz w:val="20"/>
              </w:rPr>
            </w:pPr>
            <w:r w:rsidRPr="00037D5F">
              <w:rPr>
                <w:rFonts w:eastAsia="新細明體"/>
                <w:color w:val="auto"/>
                <w:sz w:val="20"/>
              </w:rPr>
              <w:t>35.07</w:t>
            </w:r>
          </w:p>
        </w:tc>
      </w:tr>
      <w:tr w:rsidR="00161123">
        <w:trPr>
          <w:cantSplit/>
        </w:trPr>
        <w:tc>
          <w:tcPr>
            <w:tcW w:w="6508" w:type="dxa"/>
            <w:gridSpan w:val="3"/>
            <w:shd w:val="clear" w:color="auto" w:fill="F9F9F9"/>
          </w:tcPr>
          <w:p w:rsidR="00161123" w:rsidRPr="00583E72" w:rsidRDefault="00161123">
            <w:pPr>
              <w:jc w:val="both"/>
              <w:rPr>
                <w:rFonts w:ascii="標楷體" w:eastAsia="標楷體" w:hAnsi="標楷體"/>
                <w:sz w:val="20"/>
              </w:rPr>
            </w:pPr>
            <w:r w:rsidRPr="00583E72">
              <w:rPr>
                <w:rFonts w:ascii="標楷體" w:eastAsia="標楷體" w:hAnsi="標楷體"/>
                <w:sz w:val="20"/>
              </w:rPr>
              <w:t>合</w:t>
            </w:r>
            <w:r w:rsidRPr="00583E72">
              <w:rPr>
                <w:rFonts w:ascii="標楷體" w:eastAsia="標楷體" w:hAnsi="標楷體" w:hint="eastAsia"/>
                <w:sz w:val="20"/>
              </w:rPr>
              <w:t xml:space="preserve">     </w:t>
            </w:r>
            <w:r w:rsidRPr="00583E72">
              <w:rPr>
                <w:rFonts w:ascii="標楷體" w:eastAsia="標楷體" w:hAnsi="標楷體"/>
                <w:sz w:val="20"/>
              </w:rPr>
              <w:t>計</w:t>
            </w:r>
          </w:p>
        </w:tc>
        <w:tc>
          <w:tcPr>
            <w:tcW w:w="1800" w:type="dxa"/>
            <w:vAlign w:val="center"/>
          </w:tcPr>
          <w:p w:rsidR="00161123" w:rsidRPr="00037D5F" w:rsidRDefault="0016200C">
            <w:pPr>
              <w:pStyle w:val="a4"/>
              <w:spacing w:line="300" w:lineRule="exact"/>
              <w:jc w:val="right"/>
              <w:rPr>
                <w:rFonts w:eastAsia="新細明體"/>
                <w:color w:val="auto"/>
                <w:sz w:val="20"/>
              </w:rPr>
            </w:pPr>
            <w:r w:rsidRPr="00037D5F">
              <w:rPr>
                <w:rFonts w:eastAsia="新細明體"/>
                <w:color w:val="auto"/>
                <w:sz w:val="20"/>
              </w:rPr>
              <w:t>217,244</w:t>
            </w:r>
          </w:p>
        </w:tc>
        <w:tc>
          <w:tcPr>
            <w:tcW w:w="1260" w:type="dxa"/>
            <w:vAlign w:val="center"/>
          </w:tcPr>
          <w:p w:rsidR="00161123" w:rsidRPr="00037D5F" w:rsidRDefault="0016200C">
            <w:pPr>
              <w:pStyle w:val="a4"/>
              <w:spacing w:line="300" w:lineRule="exact"/>
              <w:jc w:val="right"/>
              <w:rPr>
                <w:rFonts w:eastAsia="新細明體"/>
                <w:color w:val="auto"/>
                <w:sz w:val="20"/>
              </w:rPr>
            </w:pPr>
            <w:r w:rsidRPr="00037D5F">
              <w:rPr>
                <w:rFonts w:eastAsia="新細明體"/>
                <w:color w:val="auto"/>
                <w:sz w:val="20"/>
              </w:rPr>
              <w:t>100</w:t>
            </w:r>
          </w:p>
        </w:tc>
      </w:tr>
    </w:tbl>
    <w:p w:rsidR="00161123" w:rsidRDefault="00161123" w:rsidP="007503C9">
      <w:pPr>
        <w:jc w:val="both"/>
        <w:rPr>
          <w:rFonts w:ascii="新細明體" w:hAnsi="新細明體"/>
        </w:rPr>
      </w:pPr>
      <w:r>
        <w:rPr>
          <w:rFonts w:ascii="新細明體" w:hAnsi="新細明體" w:hint="eastAsia"/>
        </w:rPr>
        <w:t xml:space="preserve">                                         </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1531"/>
        <w:gridCol w:w="1288"/>
        <w:gridCol w:w="1320"/>
        <w:gridCol w:w="1320"/>
        <w:gridCol w:w="1320"/>
        <w:gridCol w:w="1322"/>
        <w:gridCol w:w="1800"/>
      </w:tblGrid>
      <w:tr w:rsidR="00161123" w:rsidTr="00192E60">
        <w:trPr>
          <w:cantSplit/>
          <w:trHeight w:hRule="exact" w:val="1092"/>
        </w:trPr>
        <w:tc>
          <w:tcPr>
            <w:tcW w:w="10470" w:type="dxa"/>
            <w:gridSpan w:val="8"/>
            <w:tcBorders>
              <w:top w:val="single" w:sz="6" w:space="0" w:color="auto"/>
              <w:left w:val="single" w:sz="12" w:space="0" w:color="auto"/>
              <w:bottom w:val="single" w:sz="6" w:space="0" w:color="auto"/>
              <w:right w:val="single" w:sz="12" w:space="0" w:color="auto"/>
            </w:tcBorders>
            <w:vAlign w:val="center"/>
          </w:tcPr>
          <w:p w:rsidR="00161123" w:rsidRDefault="001F4C92">
            <w:pPr>
              <w:ind w:firstLineChars="500" w:firstLine="1200"/>
              <w:rPr>
                <w:rFonts w:eastAsia="標楷體"/>
                <w:b/>
                <w:bCs/>
                <w:sz w:val="28"/>
              </w:rPr>
            </w:pPr>
            <w:bookmarkStart w:id="4" w:name="最近五年度簡明損益表及申請年度截至最近月份止之自結損益表"/>
            <w:bookmarkEnd w:id="4"/>
            <w:r w:rsidRPr="001F4C92">
              <w:rPr>
                <w:rFonts w:ascii="新細明體" w:hAnsi="新細明體"/>
                <w:noProof/>
              </w:rPr>
              <w:pict>
                <v:shape id="_x0000_s1118" type="#_x0000_t202" style="position:absolute;left:0;text-align:left;margin-left:0;margin-top:-.55pt;width:523pt;height:53.95pt;z-index:-7" fillcolor="#ededed" stroked="f">
                  <v:fill rotate="t" focus="50%" type="gradient"/>
                  <v:textbox style="mso-next-textbox:#_x0000_s1118">
                    <w:txbxContent>
                      <w:p w:rsidR="00161123" w:rsidRDefault="00161123"/>
                    </w:txbxContent>
                  </v:textbox>
                </v:shape>
              </w:pict>
            </w:r>
            <w:r w:rsidR="00161123">
              <w:rPr>
                <w:rFonts w:eastAsia="標楷體" w:hAnsi="標楷體"/>
                <w:b/>
                <w:bCs/>
                <w:sz w:val="28"/>
              </w:rPr>
              <w:t>最近五年度簡明損益表及申請年度截至最近月份止之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r w:rsidR="00161123">
              <w:rPr>
                <w:rFonts w:eastAsia="標楷體"/>
                <w:b/>
                <w:bCs/>
                <w:sz w:val="28"/>
              </w:rPr>
              <w:t xml:space="preserve">  </w:t>
            </w:r>
          </w:p>
          <w:p w:rsidR="00161123" w:rsidRDefault="00161123">
            <w:pPr>
              <w:ind w:firstLineChars="3500" w:firstLine="8400"/>
              <w:rPr>
                <w:rFonts w:eastAsia="標楷體"/>
              </w:rPr>
            </w:pPr>
            <w:r>
              <w:rPr>
                <w:rFonts w:eastAsia="標楷體" w:hAnsi="標楷體"/>
              </w:rPr>
              <w:t>單位：新台幣仟元</w:t>
            </w:r>
            <w:r>
              <w:rPr>
                <w:rFonts w:eastAsia="標楷體"/>
              </w:rPr>
              <w:t xml:space="preserve">                      </w:t>
            </w:r>
          </w:p>
        </w:tc>
      </w:tr>
      <w:tr w:rsidR="0019438A" w:rsidTr="00192E60">
        <w:tc>
          <w:tcPr>
            <w:tcW w:w="2100"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Default="0019438A">
            <w:pPr>
              <w:ind w:left="57" w:right="57"/>
              <w:jc w:val="right"/>
              <w:rPr>
                <w:rFonts w:eastAsia="標楷體"/>
              </w:rPr>
            </w:pPr>
            <w:r>
              <w:rPr>
                <w:rFonts w:eastAsia="標楷體" w:hAnsi="標楷體"/>
              </w:rPr>
              <w:t>年度</w:t>
            </w:r>
          </w:p>
          <w:p w:rsidR="0019438A" w:rsidRDefault="0019438A">
            <w:pPr>
              <w:rPr>
                <w:rFonts w:eastAsia="標楷體"/>
              </w:rPr>
            </w:pPr>
            <w:r>
              <w:rPr>
                <w:rFonts w:eastAsia="標楷體" w:hAnsi="標楷體"/>
              </w:rPr>
              <w:lastRenderedPageBreak/>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Default="000A40A4" w:rsidP="00161123">
            <w:pPr>
              <w:jc w:val="center"/>
              <w:rPr>
                <w:rFonts w:eastAsia="標楷體"/>
              </w:rPr>
            </w:pPr>
            <w:r>
              <w:rPr>
                <w:rFonts w:eastAsia="標楷體" w:hAnsi="標楷體" w:hint="eastAsia"/>
              </w:rPr>
              <w:lastRenderedPageBreak/>
              <w:t>100</w:t>
            </w:r>
            <w:r w:rsidR="0019438A">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0A40A4" w:rsidP="000A40A4">
            <w:pPr>
              <w:jc w:val="center"/>
              <w:rPr>
                <w:rFonts w:eastAsia="標楷體"/>
              </w:rPr>
            </w:pPr>
            <w:r>
              <w:rPr>
                <w:rFonts w:eastAsia="標楷體" w:hAnsi="標楷體" w:hint="eastAsia"/>
              </w:rPr>
              <w:t>101</w:t>
            </w:r>
            <w:r w:rsidR="0019438A">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0A40A4" w:rsidP="000A40A4">
            <w:pPr>
              <w:jc w:val="center"/>
              <w:rPr>
                <w:rFonts w:eastAsia="標楷體"/>
              </w:rPr>
            </w:pPr>
            <w:r>
              <w:rPr>
                <w:rFonts w:eastAsia="標楷體" w:hAnsi="標楷體" w:hint="eastAsia"/>
              </w:rPr>
              <w:t>102</w:t>
            </w:r>
            <w:r w:rsidR="0019438A">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0A40A4" w:rsidP="000A40A4">
            <w:pPr>
              <w:jc w:val="center"/>
              <w:rPr>
                <w:rFonts w:eastAsia="標楷體"/>
              </w:rPr>
            </w:pPr>
            <w:r>
              <w:rPr>
                <w:rFonts w:eastAsia="標楷體" w:hint="eastAsia"/>
              </w:rPr>
              <w:t>103</w:t>
            </w:r>
            <w:r w:rsidR="0019438A">
              <w:rPr>
                <w:rFonts w:eastAsia="標楷體" w:hint="eastAsia"/>
              </w:rPr>
              <w:t>年</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Default="000A40A4">
            <w:pPr>
              <w:jc w:val="center"/>
              <w:rPr>
                <w:rFonts w:eastAsia="標楷體"/>
              </w:rPr>
            </w:pPr>
            <w:r>
              <w:rPr>
                <w:rFonts w:eastAsia="標楷體" w:hint="eastAsia"/>
              </w:rPr>
              <w:t>104</w:t>
            </w:r>
            <w:r w:rsidR="0019438A">
              <w:rPr>
                <w:rFonts w:eastAsia="標楷體" w:hint="eastAsia"/>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Default="0019438A">
            <w:pPr>
              <w:jc w:val="center"/>
              <w:rPr>
                <w:rFonts w:eastAsia="標楷體"/>
              </w:rPr>
            </w:pPr>
            <w:r>
              <w:rPr>
                <w:rFonts w:eastAsia="標楷體"/>
              </w:rPr>
              <w:t xml:space="preserve"> </w:t>
            </w:r>
            <w:r w:rsidR="000A40A4">
              <w:rPr>
                <w:rFonts w:eastAsia="標楷體" w:hint="eastAsia"/>
              </w:rPr>
              <w:t>105</w:t>
            </w:r>
            <w:r>
              <w:rPr>
                <w:rFonts w:eastAsia="標楷體" w:hAnsi="標楷體"/>
              </w:rPr>
              <w:t>年截</w:t>
            </w:r>
          </w:p>
          <w:p w:rsidR="0020043D" w:rsidRDefault="0019438A">
            <w:pPr>
              <w:jc w:val="center"/>
              <w:rPr>
                <w:rFonts w:eastAsia="標楷體" w:hAnsi="標楷體"/>
              </w:rPr>
            </w:pPr>
            <w:r>
              <w:rPr>
                <w:rFonts w:eastAsia="標楷體" w:hAnsi="標楷體"/>
              </w:rPr>
              <w:lastRenderedPageBreak/>
              <w:t>至</w:t>
            </w:r>
            <w:r w:rsidR="00AE01E1">
              <w:rPr>
                <w:rFonts w:eastAsia="標楷體" w:hint="eastAsia"/>
                <w:u w:val="single"/>
              </w:rPr>
              <w:t>10</w:t>
            </w:r>
            <w:r>
              <w:rPr>
                <w:rFonts w:eastAsia="標楷體" w:hAnsi="標楷體"/>
              </w:rPr>
              <w:t>月份止</w:t>
            </w:r>
          </w:p>
          <w:p w:rsidR="0019438A" w:rsidRDefault="0020043D">
            <w:pPr>
              <w:jc w:val="center"/>
              <w:rPr>
                <w:rFonts w:eastAsia="標楷體" w:hAnsi="標楷體"/>
                <w:b/>
                <w:u w:val="single"/>
              </w:rPr>
            </w:pPr>
            <w:r w:rsidRPr="0020043D">
              <w:rPr>
                <w:rFonts w:eastAsia="標楷體" w:hAnsi="標楷體" w:hint="eastAsia"/>
                <w:b/>
                <w:u w:val="single"/>
              </w:rPr>
              <w:t>(</w:t>
            </w:r>
            <w:r w:rsidRPr="0020043D">
              <w:rPr>
                <w:rFonts w:eastAsia="標楷體" w:hAnsi="標楷體" w:hint="eastAsia"/>
                <w:b/>
                <w:u w:val="single"/>
              </w:rPr>
              <w:t>自結數</w:t>
            </w:r>
            <w:r w:rsidRPr="0020043D">
              <w:rPr>
                <w:rFonts w:eastAsia="標楷體" w:hAnsi="標楷體" w:hint="eastAsia"/>
                <w:b/>
                <w:u w:val="single"/>
              </w:rPr>
              <w:t>)</w:t>
            </w:r>
          </w:p>
          <w:p w:rsidR="00611233" w:rsidRPr="0020043D" w:rsidRDefault="00611233">
            <w:pPr>
              <w:jc w:val="center"/>
              <w:rPr>
                <w:rFonts w:eastAsia="標楷體"/>
                <w:b/>
                <w:u w:val="single"/>
              </w:rPr>
            </w:pPr>
            <w:r w:rsidRPr="001218BC">
              <w:rPr>
                <w:rFonts w:ascii="標楷體" w:eastAsia="標楷體" w:hAnsi="標楷體" w:hint="eastAsia"/>
                <w:b/>
              </w:rPr>
              <w:t>(註)</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lastRenderedPageBreak/>
              <w:t>營業收入</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10,655</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12,435</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178,701</w:t>
            </w:r>
          </w:p>
        </w:tc>
        <w:tc>
          <w:tcPr>
            <w:tcW w:w="1322" w:type="dxa"/>
            <w:tcBorders>
              <w:top w:val="single" w:sz="6" w:space="0" w:color="auto"/>
              <w:left w:val="single" w:sz="6" w:space="0" w:color="auto"/>
              <w:bottom w:val="single" w:sz="6" w:space="0" w:color="auto"/>
              <w:right w:val="single" w:sz="4" w:space="0" w:color="auto"/>
            </w:tcBorders>
            <w:hideMark/>
          </w:tcPr>
          <w:p w:rsidR="00192E60" w:rsidRPr="00192E60" w:rsidRDefault="00192E60">
            <w:pPr>
              <w:jc w:val="right"/>
              <w:rPr>
                <w:rFonts w:eastAsia="標楷體"/>
              </w:rPr>
            </w:pPr>
            <w:r w:rsidRPr="00192E60">
              <w:rPr>
                <w:rFonts w:eastAsia="標楷體"/>
              </w:rPr>
              <w:t>217,244</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57"/>
              <w:jc w:val="right"/>
              <w:rPr>
                <w:rFonts w:eastAsia="標楷體"/>
              </w:rPr>
            </w:pPr>
            <w:r w:rsidRPr="00192E60">
              <w:rPr>
                <w:rFonts w:eastAsia="標楷體"/>
              </w:rPr>
              <w:t>209,573</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營業毛利</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5,644</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6,486</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126,316</w:t>
            </w:r>
          </w:p>
        </w:tc>
        <w:tc>
          <w:tcPr>
            <w:tcW w:w="1322" w:type="dxa"/>
            <w:tcBorders>
              <w:top w:val="single" w:sz="6" w:space="0" w:color="auto"/>
              <w:left w:val="single" w:sz="6" w:space="0" w:color="auto"/>
              <w:bottom w:val="single" w:sz="6" w:space="0" w:color="auto"/>
              <w:right w:val="single" w:sz="4" w:space="0" w:color="auto"/>
            </w:tcBorders>
            <w:hideMark/>
          </w:tcPr>
          <w:p w:rsidR="00192E60" w:rsidRPr="00192E60" w:rsidRDefault="00192E60">
            <w:pPr>
              <w:jc w:val="right"/>
              <w:rPr>
                <w:rFonts w:eastAsia="標楷體"/>
              </w:rPr>
            </w:pPr>
            <w:r w:rsidRPr="00192E60">
              <w:rPr>
                <w:rFonts w:eastAsia="標楷體"/>
              </w:rPr>
              <w:t>149,618</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57"/>
              <w:jc w:val="right"/>
              <w:rPr>
                <w:rFonts w:eastAsia="標楷體"/>
              </w:rPr>
            </w:pPr>
            <w:r w:rsidRPr="00192E60">
              <w:rPr>
                <w:rFonts w:eastAsia="標楷體"/>
              </w:rPr>
              <w:t>149,029</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hAnsi="標楷體"/>
              </w:rPr>
            </w:pPr>
            <w:r>
              <w:rPr>
                <w:rFonts w:eastAsia="標楷體" w:hAnsi="標楷體" w:hint="eastAsia"/>
              </w:rPr>
              <w:t>毛利率</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53%</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52%</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71%</w:t>
            </w:r>
          </w:p>
        </w:tc>
        <w:tc>
          <w:tcPr>
            <w:tcW w:w="1322" w:type="dxa"/>
            <w:tcBorders>
              <w:top w:val="single" w:sz="6" w:space="0" w:color="auto"/>
              <w:left w:val="single" w:sz="6" w:space="0" w:color="auto"/>
              <w:bottom w:val="single" w:sz="6" w:space="0" w:color="auto"/>
              <w:right w:val="single" w:sz="4" w:space="0" w:color="auto"/>
            </w:tcBorders>
            <w:hideMark/>
          </w:tcPr>
          <w:p w:rsidR="00192E60" w:rsidRPr="00192E60" w:rsidRDefault="00192E60">
            <w:pPr>
              <w:ind w:right="120"/>
              <w:jc w:val="right"/>
              <w:rPr>
                <w:rFonts w:eastAsia="標楷體"/>
              </w:rPr>
            </w:pPr>
            <w:r w:rsidRPr="00192E60">
              <w:rPr>
                <w:rFonts w:eastAsia="標楷體"/>
              </w:rPr>
              <w:t>69%</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57"/>
              <w:jc w:val="right"/>
              <w:rPr>
                <w:rFonts w:eastAsia="標楷體"/>
              </w:rPr>
            </w:pPr>
            <w:r w:rsidRPr="00192E60">
              <w:rPr>
                <w:rFonts w:eastAsia="標楷體"/>
              </w:rPr>
              <w:t>71%</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營業外收入</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330</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789</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3,023</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10,748</w:t>
            </w:r>
          </w:p>
        </w:tc>
        <w:tc>
          <w:tcPr>
            <w:tcW w:w="1322" w:type="dxa"/>
            <w:tcBorders>
              <w:top w:val="single" w:sz="6" w:space="0" w:color="auto"/>
              <w:left w:val="single" w:sz="6" w:space="0" w:color="auto"/>
              <w:bottom w:val="single" w:sz="6" w:space="0" w:color="auto"/>
              <w:right w:val="single" w:sz="4" w:space="0" w:color="auto"/>
            </w:tcBorders>
            <w:hideMark/>
          </w:tcPr>
          <w:p w:rsidR="00192E60" w:rsidRPr="00192E60" w:rsidRDefault="00192E60">
            <w:pPr>
              <w:jc w:val="right"/>
              <w:rPr>
                <w:rFonts w:eastAsia="標楷體"/>
              </w:rPr>
            </w:pPr>
            <w:r w:rsidRPr="00192E60">
              <w:rPr>
                <w:rFonts w:eastAsia="標楷體"/>
              </w:rPr>
              <w:t>13,940</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57"/>
              <w:jc w:val="right"/>
              <w:rPr>
                <w:rFonts w:eastAsia="標楷體"/>
              </w:rPr>
            </w:pPr>
            <w:r w:rsidRPr="00192E60">
              <w:rPr>
                <w:rFonts w:eastAsia="標楷體"/>
              </w:rPr>
              <w:t>165</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營業外支出</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(88)</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(6,607)</w:t>
            </w:r>
          </w:p>
        </w:tc>
        <w:tc>
          <w:tcPr>
            <w:tcW w:w="1322" w:type="dxa"/>
            <w:tcBorders>
              <w:top w:val="single" w:sz="6" w:space="0" w:color="auto"/>
              <w:left w:val="single" w:sz="6" w:space="0" w:color="auto"/>
              <w:bottom w:val="single" w:sz="6" w:space="0" w:color="auto"/>
              <w:right w:val="single" w:sz="4" w:space="0" w:color="auto"/>
            </w:tcBorders>
            <w:hideMark/>
          </w:tcPr>
          <w:p w:rsidR="00192E60" w:rsidRPr="00192E60" w:rsidRDefault="00192E60">
            <w:pPr>
              <w:pStyle w:val="ab"/>
              <w:snapToGrid/>
              <w:jc w:val="right"/>
              <w:rPr>
                <w:rFonts w:ascii="Times New Roman" w:eastAsia="標楷體" w:hAnsi="Times New Roman"/>
              </w:rPr>
            </w:pPr>
            <w:r w:rsidRPr="00192E60">
              <w:rPr>
                <w:rFonts w:ascii="Times New Roman" w:eastAsia="標楷體" w:hAnsi="Times New Roman"/>
              </w:rPr>
              <w:t>(8,945)</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57"/>
              <w:jc w:val="right"/>
              <w:rPr>
                <w:rFonts w:eastAsia="標楷體"/>
              </w:rPr>
            </w:pPr>
            <w:r w:rsidRPr="00192E60">
              <w:rPr>
                <w:rFonts w:eastAsia="標楷體"/>
              </w:rPr>
              <w:t>(2,984)</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稅前損益</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(6,058)</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snapToGrid w:val="0"/>
              <w:spacing w:line="240" w:lineRule="atLeast"/>
              <w:jc w:val="right"/>
              <w:rPr>
                <w:rFonts w:eastAsia="標楷體"/>
              </w:rPr>
            </w:pPr>
            <w:r w:rsidRPr="00192E60">
              <w:rPr>
                <w:rFonts w:eastAsia="標楷體"/>
              </w:rPr>
              <w:t>(16,888)</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snapToGrid w:val="0"/>
              <w:spacing w:line="240" w:lineRule="atLeast"/>
              <w:jc w:val="right"/>
              <w:rPr>
                <w:rFonts w:eastAsia="標楷體"/>
              </w:rPr>
            </w:pPr>
            <w:r w:rsidRPr="00192E60">
              <w:rPr>
                <w:rFonts w:eastAsia="標楷體"/>
              </w:rPr>
              <w:t>(38,031)</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snapToGrid w:val="0"/>
              <w:spacing w:line="240" w:lineRule="atLeast"/>
              <w:jc w:val="right"/>
              <w:rPr>
                <w:rFonts w:eastAsia="標楷體"/>
              </w:rPr>
            </w:pPr>
            <w:r w:rsidRPr="00192E60">
              <w:rPr>
                <w:rFonts w:eastAsia="標楷體"/>
              </w:rPr>
              <w:t>8,624</w:t>
            </w:r>
          </w:p>
        </w:tc>
        <w:tc>
          <w:tcPr>
            <w:tcW w:w="1322" w:type="dxa"/>
            <w:tcBorders>
              <w:top w:val="single" w:sz="6" w:space="0" w:color="auto"/>
              <w:left w:val="single" w:sz="6" w:space="0" w:color="auto"/>
              <w:bottom w:val="single" w:sz="6" w:space="0" w:color="auto"/>
              <w:right w:val="single" w:sz="4" w:space="0" w:color="auto"/>
            </w:tcBorders>
            <w:vAlign w:val="center"/>
            <w:hideMark/>
          </w:tcPr>
          <w:p w:rsidR="00192E60" w:rsidRPr="00192E60" w:rsidRDefault="00192E60">
            <w:pPr>
              <w:snapToGrid w:val="0"/>
              <w:spacing w:line="240" w:lineRule="atLeast"/>
              <w:jc w:val="right"/>
              <w:rPr>
                <w:rFonts w:eastAsia="標楷體"/>
              </w:rPr>
            </w:pPr>
            <w:r w:rsidRPr="00192E60">
              <w:rPr>
                <w:rFonts w:eastAsia="標楷體"/>
              </w:rPr>
              <w:t>36,539</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57"/>
              <w:jc w:val="right"/>
              <w:rPr>
                <w:rFonts w:eastAsia="標楷體"/>
              </w:rPr>
            </w:pPr>
            <w:r w:rsidRPr="00192E60">
              <w:rPr>
                <w:rFonts w:eastAsia="標楷體"/>
              </w:rPr>
              <w:t>44,577</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稅後損益</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(6,058)</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snapToGrid w:val="0"/>
              <w:spacing w:line="240" w:lineRule="atLeast"/>
              <w:jc w:val="right"/>
              <w:rPr>
                <w:rFonts w:eastAsia="標楷體"/>
              </w:rPr>
            </w:pPr>
            <w:r w:rsidRPr="00192E60">
              <w:rPr>
                <w:rFonts w:eastAsia="標楷體"/>
              </w:rPr>
              <w:t>(16,888)</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snapToGrid w:val="0"/>
              <w:spacing w:line="240" w:lineRule="atLeast"/>
              <w:jc w:val="right"/>
              <w:rPr>
                <w:rFonts w:eastAsia="標楷體"/>
              </w:rPr>
            </w:pPr>
            <w:r w:rsidRPr="00192E60">
              <w:rPr>
                <w:rFonts w:eastAsia="標楷體"/>
              </w:rPr>
              <w:t>(38,031)</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snapToGrid w:val="0"/>
              <w:spacing w:line="240" w:lineRule="atLeast"/>
              <w:jc w:val="right"/>
              <w:rPr>
                <w:rFonts w:eastAsia="標楷體"/>
              </w:rPr>
            </w:pPr>
            <w:r w:rsidRPr="00192E60">
              <w:rPr>
                <w:rFonts w:eastAsia="標楷體"/>
              </w:rPr>
              <w:t>8,624</w:t>
            </w:r>
          </w:p>
        </w:tc>
        <w:tc>
          <w:tcPr>
            <w:tcW w:w="1322" w:type="dxa"/>
            <w:tcBorders>
              <w:top w:val="single" w:sz="6" w:space="0" w:color="auto"/>
              <w:left w:val="single" w:sz="6" w:space="0" w:color="auto"/>
              <w:bottom w:val="single" w:sz="6" w:space="0" w:color="auto"/>
              <w:right w:val="single" w:sz="4" w:space="0" w:color="auto"/>
            </w:tcBorders>
            <w:hideMark/>
          </w:tcPr>
          <w:p w:rsidR="00192E60" w:rsidRPr="00192E60" w:rsidRDefault="00192E60">
            <w:pPr>
              <w:jc w:val="right"/>
              <w:rPr>
                <w:rFonts w:eastAsia="標楷體"/>
              </w:rPr>
            </w:pPr>
            <w:r w:rsidRPr="00192E60">
              <w:rPr>
                <w:rFonts w:eastAsia="標楷體"/>
              </w:rPr>
              <w:t>20,888</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57"/>
              <w:jc w:val="right"/>
              <w:rPr>
                <w:rFonts w:eastAsia="標楷體"/>
              </w:rPr>
            </w:pPr>
            <w:r w:rsidRPr="00192E60">
              <w:rPr>
                <w:rFonts w:eastAsia="標楷體"/>
              </w:rPr>
              <w:t>23,488</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每股盈餘（元）</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(1.52)</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(3.12)</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(3.86)</w:t>
            </w:r>
          </w:p>
        </w:tc>
        <w:tc>
          <w:tcPr>
            <w:tcW w:w="132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(0.68)</w:t>
            </w:r>
          </w:p>
        </w:tc>
        <w:tc>
          <w:tcPr>
            <w:tcW w:w="1322" w:type="dxa"/>
            <w:tcBorders>
              <w:top w:val="single" w:sz="6" w:space="0" w:color="auto"/>
              <w:left w:val="single" w:sz="6" w:space="0" w:color="auto"/>
              <w:bottom w:val="single" w:sz="6" w:space="0" w:color="auto"/>
              <w:right w:val="single" w:sz="4" w:space="0" w:color="auto"/>
            </w:tcBorders>
            <w:hideMark/>
          </w:tcPr>
          <w:p w:rsidR="00192E60" w:rsidRPr="00192E60" w:rsidRDefault="00192E60">
            <w:pPr>
              <w:tabs>
                <w:tab w:val="left" w:pos="1250"/>
              </w:tabs>
              <w:ind w:right="14"/>
              <w:jc w:val="right"/>
              <w:rPr>
                <w:rFonts w:eastAsia="標楷體"/>
              </w:rPr>
            </w:pPr>
            <w:r w:rsidRPr="00192E60">
              <w:rPr>
                <w:rFonts w:eastAsia="標楷體"/>
              </w:rPr>
              <w:t>0.72</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13605" w:rsidRDefault="00113605">
            <w:pPr>
              <w:ind w:right="57"/>
              <w:jc w:val="right"/>
              <w:rPr>
                <w:rFonts w:eastAsia="標楷體"/>
              </w:rPr>
            </w:pPr>
            <w:r w:rsidRPr="004008A9">
              <w:rPr>
                <w:rFonts w:eastAsia="標楷體" w:hint="eastAsia"/>
              </w:rPr>
              <w:t>0.8</w:t>
            </w:r>
            <w:r w:rsidR="008716FE">
              <w:rPr>
                <w:rFonts w:eastAsia="標楷體" w:hint="eastAsia"/>
              </w:rPr>
              <w:t>5</w:t>
            </w:r>
          </w:p>
        </w:tc>
      </w:tr>
      <w:tr w:rsidR="00192E60" w:rsidTr="00192E60">
        <w:tblPrEx>
          <w:tblLook w:val="04A0"/>
        </w:tblPrEx>
        <w:trPr>
          <w:cantSplit/>
        </w:trPr>
        <w:tc>
          <w:tcPr>
            <w:tcW w:w="569" w:type="dxa"/>
            <w:vMerge w:val="restart"/>
            <w:tcBorders>
              <w:top w:val="single" w:sz="6" w:space="0" w:color="auto"/>
              <w:left w:val="single" w:sz="12" w:space="0" w:color="auto"/>
              <w:bottom w:val="single" w:sz="6" w:space="0" w:color="auto"/>
              <w:right w:val="single" w:sz="4" w:space="0" w:color="auto"/>
            </w:tcBorders>
            <w:vAlign w:val="center"/>
            <w:hideMark/>
          </w:tcPr>
          <w:p w:rsidR="00192E60" w:rsidRDefault="00192E60">
            <w:pPr>
              <w:jc w:val="distribute"/>
              <w:rPr>
                <w:rFonts w:eastAsia="標楷體" w:hAnsi="標楷體"/>
              </w:rPr>
            </w:pPr>
            <w:r>
              <w:rPr>
                <w:rFonts w:eastAsia="標楷體" w:hAnsi="標楷體" w:hint="eastAsia"/>
              </w:rPr>
              <w:t>股利發放</w:t>
            </w:r>
          </w:p>
        </w:tc>
        <w:tc>
          <w:tcPr>
            <w:tcW w:w="1531" w:type="dxa"/>
            <w:tcBorders>
              <w:top w:val="single" w:sz="6" w:space="0" w:color="auto"/>
              <w:left w:val="single" w:sz="4" w:space="0" w:color="auto"/>
              <w:bottom w:val="single" w:sz="6" w:space="0" w:color="auto"/>
              <w:right w:val="single" w:sz="6" w:space="0" w:color="auto"/>
            </w:tcBorders>
            <w:vAlign w:val="center"/>
            <w:hideMark/>
          </w:tcPr>
          <w:p w:rsidR="00192E60" w:rsidRDefault="00192E60">
            <w:pPr>
              <w:jc w:val="distribute"/>
              <w:rPr>
                <w:rFonts w:eastAsia="標楷體" w:hAnsi="標楷體"/>
              </w:rPr>
            </w:pPr>
            <w:r>
              <w:rPr>
                <w:rFonts w:eastAsia="標楷體" w:hAnsi="標楷體" w:hint="eastAsia"/>
              </w:rPr>
              <w:t>現金股利</w:t>
            </w:r>
            <w:r>
              <w:rPr>
                <w:rFonts w:eastAsia="標楷體" w:hAnsi="標楷體"/>
              </w:rPr>
              <w:t>(</w:t>
            </w:r>
            <w:r>
              <w:rPr>
                <w:rFonts w:eastAsia="標楷體" w:hAnsi="標楷體" w:hint="eastAsia"/>
              </w:rPr>
              <w:t>元</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113"/>
              <w:jc w:val="right"/>
              <w:rPr>
                <w:rFonts w:eastAsia="標楷體"/>
              </w:rPr>
            </w:pPr>
            <w:r w:rsidRPr="00192E60">
              <w:rPr>
                <w:rFonts w:eastAsia="標楷體"/>
              </w:rPr>
              <w:t>-</w:t>
            </w:r>
          </w:p>
        </w:tc>
      </w:tr>
      <w:tr w:rsidR="00192E60" w:rsidTr="00192E60">
        <w:tblPrEx>
          <w:tblLook w:val="04A0"/>
        </w:tblPrEx>
        <w:trPr>
          <w:cantSplit/>
        </w:trPr>
        <w:tc>
          <w:tcPr>
            <w:tcW w:w="569" w:type="dxa"/>
            <w:vMerge/>
            <w:tcBorders>
              <w:top w:val="single" w:sz="6" w:space="0" w:color="auto"/>
              <w:left w:val="single" w:sz="12" w:space="0" w:color="auto"/>
              <w:bottom w:val="single" w:sz="6" w:space="0" w:color="auto"/>
              <w:right w:val="single" w:sz="4" w:space="0" w:color="auto"/>
            </w:tcBorders>
            <w:vAlign w:val="center"/>
            <w:hideMark/>
          </w:tcPr>
          <w:p w:rsidR="00192E60" w:rsidRDefault="00192E60">
            <w:pPr>
              <w:widowControl/>
              <w:rPr>
                <w:rFonts w:eastAsia="標楷體" w:hAnsi="標楷體"/>
              </w:rPr>
            </w:pPr>
          </w:p>
        </w:tc>
        <w:tc>
          <w:tcPr>
            <w:tcW w:w="1531" w:type="dxa"/>
            <w:tcBorders>
              <w:top w:val="single" w:sz="6" w:space="0" w:color="auto"/>
              <w:left w:val="single" w:sz="4" w:space="0" w:color="auto"/>
              <w:bottom w:val="single" w:sz="6" w:space="0" w:color="auto"/>
              <w:right w:val="single" w:sz="6" w:space="0" w:color="auto"/>
            </w:tcBorders>
            <w:vAlign w:val="center"/>
            <w:hideMark/>
          </w:tcPr>
          <w:p w:rsidR="00192E60" w:rsidRDefault="00192E60">
            <w:pPr>
              <w:jc w:val="both"/>
              <w:rPr>
                <w:rFonts w:eastAsia="標楷體" w:hAnsi="標楷體"/>
              </w:rPr>
            </w:pPr>
            <w:r>
              <w:rPr>
                <w:rFonts w:eastAsia="標楷體" w:hAnsi="標楷體" w:hint="eastAsia"/>
              </w:rPr>
              <w:t>股票股利</w:t>
            </w:r>
            <w:r>
              <w:rPr>
                <w:rFonts w:eastAsia="標楷體" w:hAnsi="標楷體"/>
              </w:rPr>
              <w:t>(</w:t>
            </w:r>
            <w:r>
              <w:rPr>
                <w:rFonts w:eastAsia="標楷體" w:hAnsi="標楷體" w:hint="eastAsia"/>
              </w:rPr>
              <w:t>資本公積轉增資</w:t>
            </w:r>
            <w:r>
              <w:rPr>
                <w:rFonts w:eastAsia="標楷體" w:hAnsi="標楷體"/>
              </w:rPr>
              <w:t>)(</w:t>
            </w:r>
            <w:r>
              <w:rPr>
                <w:rFonts w:eastAsia="標楷體" w:hAnsi="標楷體" w:hint="eastAsia"/>
              </w:rPr>
              <w:t>元</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113"/>
              <w:jc w:val="right"/>
              <w:rPr>
                <w:rFonts w:eastAsia="標楷體"/>
              </w:rPr>
            </w:pPr>
            <w:r w:rsidRPr="00192E60">
              <w:rPr>
                <w:rFonts w:eastAsia="標楷體"/>
              </w:rPr>
              <w:t>-</w:t>
            </w:r>
          </w:p>
        </w:tc>
      </w:tr>
      <w:tr w:rsidR="00192E60" w:rsidTr="00192E60">
        <w:tblPrEx>
          <w:tblLook w:val="04A0"/>
        </w:tblPrEx>
        <w:trPr>
          <w:cantSplit/>
        </w:trPr>
        <w:tc>
          <w:tcPr>
            <w:tcW w:w="569" w:type="dxa"/>
            <w:vMerge/>
            <w:tcBorders>
              <w:top w:val="single" w:sz="6" w:space="0" w:color="auto"/>
              <w:left w:val="single" w:sz="12" w:space="0" w:color="auto"/>
              <w:bottom w:val="single" w:sz="6" w:space="0" w:color="auto"/>
              <w:right w:val="single" w:sz="4" w:space="0" w:color="auto"/>
            </w:tcBorders>
            <w:vAlign w:val="center"/>
            <w:hideMark/>
          </w:tcPr>
          <w:p w:rsidR="00192E60" w:rsidRDefault="00192E60">
            <w:pPr>
              <w:widowControl/>
              <w:rPr>
                <w:rFonts w:eastAsia="標楷體" w:hAnsi="標楷體"/>
              </w:rPr>
            </w:pPr>
          </w:p>
        </w:tc>
        <w:tc>
          <w:tcPr>
            <w:tcW w:w="1531" w:type="dxa"/>
            <w:tcBorders>
              <w:top w:val="single" w:sz="6" w:space="0" w:color="auto"/>
              <w:left w:val="single" w:sz="4" w:space="0" w:color="auto"/>
              <w:bottom w:val="single" w:sz="6" w:space="0" w:color="auto"/>
              <w:right w:val="single" w:sz="6" w:space="0" w:color="auto"/>
            </w:tcBorders>
            <w:vAlign w:val="center"/>
            <w:hideMark/>
          </w:tcPr>
          <w:p w:rsidR="00192E60" w:rsidRDefault="00192E60">
            <w:pPr>
              <w:jc w:val="both"/>
              <w:rPr>
                <w:rFonts w:eastAsia="標楷體"/>
              </w:rPr>
            </w:pPr>
            <w:r>
              <w:rPr>
                <w:rFonts w:eastAsia="標楷體" w:hAnsi="標楷體" w:hint="eastAsia"/>
              </w:rPr>
              <w:t>股票股利</w:t>
            </w:r>
            <w:r>
              <w:rPr>
                <w:rFonts w:eastAsia="標楷體" w:hAnsi="標楷體"/>
              </w:rPr>
              <w:t>(</w:t>
            </w:r>
            <w:r>
              <w:rPr>
                <w:rFonts w:eastAsia="標楷體" w:hAnsi="標楷體" w:hint="eastAsia"/>
              </w:rPr>
              <w:t>盈餘轉增資</w:t>
            </w:r>
            <w:r>
              <w:rPr>
                <w:rFonts w:eastAsia="標楷體" w:hAnsi="標楷體"/>
              </w:rPr>
              <w:t>)(</w:t>
            </w:r>
            <w:r>
              <w:rPr>
                <w:rFonts w:eastAsia="標楷體" w:hAnsi="標楷體" w:hint="eastAsia"/>
              </w:rPr>
              <w:t>元</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hideMark/>
          </w:tcPr>
          <w:p w:rsidR="00192E60" w:rsidRPr="00192E60" w:rsidRDefault="00192E60">
            <w:pPr>
              <w:ind w:right="113"/>
              <w:jc w:val="right"/>
              <w:rPr>
                <w:rFonts w:eastAsia="標楷體"/>
              </w:rPr>
            </w:pPr>
            <w:r w:rsidRPr="00192E60">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ind w:right="113"/>
              <w:jc w:val="right"/>
              <w:rPr>
                <w:rFonts w:eastAsia="標楷體"/>
              </w:rPr>
            </w:pPr>
            <w:r w:rsidRPr="00192E60">
              <w:rPr>
                <w:rFonts w:eastAsia="標楷體"/>
              </w:rPr>
              <w:t>-</w:t>
            </w:r>
          </w:p>
        </w:tc>
      </w:tr>
    </w:tbl>
    <w:p w:rsidR="00192E60" w:rsidRDefault="00192E60" w:rsidP="00AE01E1">
      <w:pPr>
        <w:pStyle w:val="Web"/>
        <w:widowControl w:val="0"/>
        <w:spacing w:before="0" w:beforeAutospacing="0" w:after="0" w:afterAutospacing="0"/>
        <w:ind w:left="566" w:hangingChars="236" w:hanging="566"/>
        <w:rPr>
          <w:rFonts w:ascii="Times New Roman" w:eastAsia="標楷體" w:hAnsi="Times New Roman" w:cs="Times New Roman"/>
        </w:rPr>
      </w:pPr>
    </w:p>
    <w:p w:rsidR="00AE01E1" w:rsidRDefault="0020043D" w:rsidP="00AE01E1">
      <w:pPr>
        <w:pStyle w:val="Web"/>
        <w:widowControl w:val="0"/>
        <w:spacing w:before="0" w:beforeAutospacing="0" w:after="0" w:afterAutospacing="0"/>
        <w:ind w:left="566" w:hangingChars="236" w:hanging="566"/>
        <w:rPr>
          <w:rFonts w:ascii="Times New Roman" w:eastAsia="標楷體" w:hAnsi="Times New Roman" w:cs="Times New Roman"/>
        </w:rPr>
      </w:pPr>
      <w:r w:rsidRPr="00AE01E1">
        <w:rPr>
          <w:rFonts w:ascii="Times New Roman" w:eastAsia="標楷體" w:hAnsi="Times New Roman" w:cs="Times New Roman"/>
        </w:rPr>
        <w:t>(</w:t>
      </w:r>
      <w:r w:rsidRPr="00AE01E1">
        <w:rPr>
          <w:rFonts w:ascii="Times New Roman" w:eastAsia="標楷體" w:hAnsi="Times New Roman" w:cs="Times New Roman"/>
        </w:rPr>
        <w:t>註</w:t>
      </w:r>
      <w:r w:rsidR="00AE01E1" w:rsidRPr="00AE01E1">
        <w:rPr>
          <w:rFonts w:ascii="Times New Roman" w:eastAsia="標楷體" w:hAnsi="Times New Roman" w:cs="Times New Roman"/>
        </w:rPr>
        <w:t>1</w:t>
      </w:r>
      <w:r w:rsidRPr="00AE01E1">
        <w:rPr>
          <w:rFonts w:ascii="Times New Roman" w:eastAsia="標楷體" w:hAnsi="Times New Roman" w:cs="Times New Roman"/>
        </w:rPr>
        <w:t>)</w:t>
      </w:r>
      <w:r w:rsidRPr="00AE01E1">
        <w:rPr>
          <w:rFonts w:ascii="Times New Roman" w:eastAsia="標楷體" w:hAnsi="Times New Roman" w:cs="Times New Roman"/>
        </w:rPr>
        <w:t>係自結數字，未經會計師查核簽證，因此可能與會計師查核結果存有差異，請投資人於參考時審慎評</w:t>
      </w:r>
      <w:r w:rsidR="00AE01E1" w:rsidRPr="00AE01E1">
        <w:rPr>
          <w:rFonts w:ascii="Times New Roman" w:eastAsia="標楷體" w:hAnsi="Times New Roman" w:cs="Times New Roman"/>
        </w:rPr>
        <w:t>估。</w:t>
      </w:r>
    </w:p>
    <w:p w:rsidR="00AE01E1" w:rsidRPr="00AE01E1" w:rsidRDefault="00AE01E1" w:rsidP="00AE01E1">
      <w:pPr>
        <w:pStyle w:val="Web"/>
        <w:widowControl w:val="0"/>
        <w:spacing w:before="0" w:beforeAutospacing="0" w:after="0" w:afterAutospacing="0"/>
        <w:ind w:left="566" w:hangingChars="236" w:hanging="566"/>
        <w:rPr>
          <w:rFonts w:ascii="Times New Roman" w:eastAsia="標楷體" w:hAnsi="Times New Roman" w:cs="Times New Roman"/>
        </w:rPr>
      </w:pPr>
      <w:r w:rsidRPr="00AE01E1">
        <w:rPr>
          <w:rFonts w:ascii="Times New Roman" w:eastAsia="標楷體" w:hAnsi="Times New Roman" w:cs="Times New Roman"/>
        </w:rPr>
        <w:t>(</w:t>
      </w:r>
      <w:r w:rsidRPr="00AE01E1">
        <w:rPr>
          <w:rFonts w:ascii="Times New Roman" w:eastAsia="標楷體" w:hAnsi="Times New Roman" w:cs="Times New Roman"/>
        </w:rPr>
        <w:t>註</w:t>
      </w:r>
      <w:r w:rsidRPr="00AE01E1">
        <w:rPr>
          <w:rFonts w:ascii="Times New Roman" w:eastAsia="標楷體" w:hAnsi="Times New Roman" w:cs="Times New Roman"/>
        </w:rPr>
        <w:t>2)</w:t>
      </w:r>
      <w:r>
        <w:rPr>
          <w:rFonts w:ascii="Times New Roman" w:eastAsia="標楷體" w:hAnsi="Times New Roman" w:cs="Times New Roman" w:hint="eastAsia"/>
        </w:rPr>
        <w:t>上表數字</w:t>
      </w:r>
      <w:r w:rsidRPr="00AE01E1">
        <w:rPr>
          <w:rFonts w:ascii="Times New Roman" w:eastAsia="標楷體" w:hAnsi="Times New Roman" w:cs="Times New Roman" w:hint="eastAsia"/>
        </w:rPr>
        <w:t xml:space="preserve"> </w:t>
      </w:r>
      <w:r>
        <w:rPr>
          <w:rFonts w:ascii="Times New Roman" w:eastAsia="標楷體" w:hAnsi="Times New Roman" w:cs="Times New Roman" w:hint="eastAsia"/>
        </w:rPr>
        <w:t>100</w:t>
      </w:r>
      <w:r>
        <w:rPr>
          <w:rFonts w:ascii="Times New Roman" w:eastAsia="標楷體" w:hAnsi="Times New Roman" w:cs="Times New Roman" w:hint="eastAsia"/>
        </w:rPr>
        <w:t>年至</w:t>
      </w:r>
      <w:r>
        <w:rPr>
          <w:rFonts w:ascii="Times New Roman" w:eastAsia="標楷體" w:hAnsi="Times New Roman" w:cs="Times New Roman" w:hint="eastAsia"/>
        </w:rPr>
        <w:t>102</w:t>
      </w:r>
      <w:r>
        <w:rPr>
          <w:rFonts w:ascii="Times New Roman" w:eastAsia="標楷體" w:hAnsi="Times New Roman" w:cs="Times New Roman" w:hint="eastAsia"/>
        </w:rPr>
        <w:t>年係</w:t>
      </w:r>
      <w:r w:rsidR="003F6C96">
        <w:rPr>
          <w:rFonts w:ascii="Times New Roman" w:eastAsia="標楷體" w:hAnsi="Times New Roman" w:cs="Times New Roman" w:hint="eastAsia"/>
        </w:rPr>
        <w:t>以</w:t>
      </w:r>
      <w:r w:rsidRPr="00AE01E1">
        <w:rPr>
          <w:rFonts w:ascii="Times New Roman" w:eastAsia="標楷體" w:hAnsi="Times New Roman" w:cs="Times New Roman"/>
        </w:rPr>
        <w:t>我國財務會計準則</w:t>
      </w:r>
      <w:r>
        <w:rPr>
          <w:rFonts w:ascii="Times New Roman" w:eastAsia="標楷體" w:hAnsi="Times New Roman" w:cs="Times New Roman" w:hint="eastAsia"/>
        </w:rPr>
        <w:t>編製</w:t>
      </w:r>
      <w:r w:rsidR="003D105E">
        <w:rPr>
          <w:rFonts w:ascii="Times New Roman" w:eastAsia="標楷體" w:hAnsi="Times New Roman" w:cs="Times New Roman" w:hint="eastAsia"/>
        </w:rPr>
        <w:t>個體報表</w:t>
      </w:r>
      <w:r>
        <w:rPr>
          <w:rFonts w:ascii="Times New Roman" w:eastAsia="標楷體" w:hAnsi="Times New Roman" w:cs="Times New Roman" w:hint="eastAsia"/>
        </w:rPr>
        <w:t>，</w:t>
      </w:r>
      <w:r w:rsidR="003F6C96">
        <w:rPr>
          <w:rFonts w:ascii="Times New Roman" w:eastAsia="標楷體" w:hAnsi="Times New Roman" w:cs="Times New Roman" w:hint="eastAsia"/>
        </w:rPr>
        <w:t>1</w:t>
      </w:r>
      <w:r w:rsidRPr="00AE01E1">
        <w:rPr>
          <w:rFonts w:ascii="Times New Roman" w:eastAsia="標楷體" w:hAnsi="Times New Roman" w:cs="Times New Roman"/>
        </w:rPr>
        <w:t>0</w:t>
      </w:r>
      <w:r w:rsidR="003F6C96">
        <w:rPr>
          <w:rFonts w:ascii="Times New Roman" w:eastAsia="標楷體" w:hAnsi="Times New Roman" w:cs="Times New Roman" w:hint="eastAsia"/>
        </w:rPr>
        <w:t>3</w:t>
      </w:r>
      <w:r w:rsidRPr="00AE01E1">
        <w:rPr>
          <w:rFonts w:ascii="Times New Roman" w:eastAsia="標楷體" w:hAnsi="Times New Roman" w:cs="Times New Roman"/>
        </w:rPr>
        <w:t>年</w:t>
      </w:r>
      <w:r w:rsidR="003F6C96">
        <w:rPr>
          <w:rFonts w:ascii="Times New Roman" w:eastAsia="標楷體" w:hAnsi="Times New Roman" w:cs="Times New Roman" w:hint="eastAsia"/>
        </w:rPr>
        <w:t>至</w:t>
      </w:r>
      <w:r w:rsidR="003F6C96">
        <w:rPr>
          <w:rFonts w:ascii="Times New Roman" w:eastAsia="標楷體" w:hAnsi="Times New Roman" w:cs="Times New Roman" w:hint="eastAsia"/>
        </w:rPr>
        <w:t>105</w:t>
      </w:r>
      <w:r w:rsidR="003F6C96">
        <w:rPr>
          <w:rFonts w:ascii="Times New Roman" w:eastAsia="標楷體" w:hAnsi="Times New Roman" w:cs="Times New Roman" w:hint="eastAsia"/>
        </w:rPr>
        <w:t>年</w:t>
      </w:r>
      <w:r>
        <w:rPr>
          <w:rFonts w:ascii="Times New Roman" w:eastAsia="標楷體" w:hAnsi="Times New Roman" w:cs="Times New Roman" w:hint="eastAsia"/>
        </w:rPr>
        <w:t>則</w:t>
      </w:r>
      <w:r w:rsidR="003F6C96">
        <w:rPr>
          <w:rFonts w:ascii="Times New Roman" w:eastAsia="標楷體" w:hAnsi="Times New Roman" w:cs="Times New Roman" w:hint="eastAsia"/>
        </w:rPr>
        <w:t>為</w:t>
      </w:r>
      <w:r w:rsidRPr="00AE01E1">
        <w:rPr>
          <w:rFonts w:ascii="Times New Roman" w:eastAsia="標楷體" w:hAnsi="Times New Roman" w:cs="Times New Roman"/>
        </w:rPr>
        <w:t>採用國際財務報告準則</w:t>
      </w:r>
      <w:r w:rsidR="003F6C96">
        <w:rPr>
          <w:rFonts w:ascii="Times New Roman" w:eastAsia="標楷體" w:hAnsi="Times New Roman" w:cs="Times New Roman" w:hint="eastAsia"/>
        </w:rPr>
        <w:t>編製</w:t>
      </w:r>
      <w:r w:rsidR="003D105E">
        <w:rPr>
          <w:rFonts w:ascii="Times New Roman" w:eastAsia="標楷體" w:hAnsi="Times New Roman" w:cs="Times New Roman" w:hint="eastAsia"/>
        </w:rPr>
        <w:t>合併報表</w:t>
      </w:r>
      <w:r w:rsidRPr="00AE01E1">
        <w:rPr>
          <w:rFonts w:ascii="Times New Roman" w:eastAsia="標楷體" w:hAnsi="Times New Roman" w:cs="Times New Roman"/>
        </w:rPr>
        <w:t>。</w:t>
      </w:r>
    </w:p>
    <w:p w:rsidR="00AE01E1" w:rsidRDefault="00AE01E1" w:rsidP="00AE01E1">
      <w:pPr>
        <w:pStyle w:val="Web"/>
        <w:widowControl w:val="0"/>
        <w:spacing w:before="0" w:beforeAutospacing="0" w:after="0" w:afterAutospacing="0"/>
        <w:ind w:left="566" w:hangingChars="236" w:hanging="566"/>
        <w:rPr>
          <w:rFonts w:ascii="Times New Roman" w:eastAsia="新細明體" w:hAnsi="Times New Roman" w:cs="Times New Roman"/>
          <w:kern w:val="2"/>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
        <w:gridCol w:w="1078"/>
        <w:gridCol w:w="1668"/>
        <w:gridCol w:w="1736"/>
        <w:gridCol w:w="1665"/>
        <w:gridCol w:w="1610"/>
        <w:gridCol w:w="1691"/>
      </w:tblGrid>
      <w:tr w:rsidR="00161123" w:rsidTr="00192E60">
        <w:trPr>
          <w:trHeight w:hRule="exact" w:val="1124"/>
          <w:tblHeader/>
        </w:trPr>
        <w:tc>
          <w:tcPr>
            <w:tcW w:w="10470" w:type="dxa"/>
            <w:gridSpan w:val="7"/>
            <w:tcBorders>
              <w:top w:val="single" w:sz="6" w:space="0" w:color="auto"/>
              <w:left w:val="single" w:sz="12" w:space="0" w:color="auto"/>
              <w:bottom w:val="single" w:sz="6" w:space="0" w:color="auto"/>
              <w:right w:val="single" w:sz="12" w:space="0" w:color="auto"/>
            </w:tcBorders>
            <w:vAlign w:val="center"/>
          </w:tcPr>
          <w:p w:rsidR="00161123" w:rsidRDefault="001F4C92">
            <w:pPr>
              <w:ind w:firstLineChars="1200" w:firstLine="3363"/>
              <w:rPr>
                <w:rFonts w:eastAsia="標楷體" w:hAnsi="標楷體"/>
                <w:b/>
                <w:bCs/>
                <w:sz w:val="28"/>
              </w:rPr>
            </w:pPr>
            <w:bookmarkStart w:id="5" w:name="最近五年度簡明資產負債表"/>
            <w:bookmarkEnd w:id="5"/>
            <w:r>
              <w:rPr>
                <w:rFonts w:eastAsia="標楷體" w:hAnsi="標楷體"/>
                <w:b/>
                <w:bCs/>
                <w:noProof/>
                <w:sz w:val="28"/>
              </w:rPr>
              <w:pict>
                <v:shape id="_x0000_s1121" type="#_x0000_t202" style="position:absolute;left:0;text-align:left;margin-left:0;margin-top:.65pt;width:523pt;height:53.95pt;z-index:-4" fillcolor="#ededed" stroked="f">
                  <v:fill rotate="t" focus="50%" type="gradient"/>
                  <v:textbox style="mso-next-textbox:#_x0000_s1121">
                    <w:txbxContent>
                      <w:p w:rsidR="00161123" w:rsidRDefault="00161123"/>
                    </w:txbxContent>
                  </v:textbox>
                </v:shape>
              </w:pict>
            </w:r>
            <w:r w:rsidR="00161123">
              <w:rPr>
                <w:rFonts w:eastAsia="標楷體" w:hAnsi="標楷體"/>
                <w:b/>
                <w:bCs/>
                <w:sz w:val="28"/>
              </w:rPr>
              <w:t>最近五年度簡明資產負債表</w:t>
            </w:r>
          </w:p>
          <w:p w:rsidR="00161123" w:rsidRDefault="00161123">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單位：新台幣仟元</w:t>
            </w:r>
          </w:p>
          <w:p w:rsidR="00161123" w:rsidRDefault="00161123">
            <w:pPr>
              <w:ind w:firstLineChars="1200" w:firstLine="3363"/>
              <w:rPr>
                <w:rFonts w:eastAsia="標楷體"/>
                <w:b/>
                <w:bCs/>
                <w:sz w:val="28"/>
              </w:rPr>
            </w:pPr>
          </w:p>
          <w:p w:rsidR="00161123" w:rsidRDefault="00161123">
            <w:pPr>
              <w:ind w:firstLineChars="1200" w:firstLine="3363"/>
              <w:rPr>
                <w:rFonts w:eastAsia="標楷體"/>
                <w:b/>
                <w:bCs/>
                <w:sz w:val="28"/>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r>
              <w:rPr>
                <w:rFonts w:eastAsia="標楷體"/>
              </w:rPr>
              <w:t xml:space="preserve">         </w:t>
            </w:r>
          </w:p>
          <w:p w:rsidR="00161123" w:rsidRDefault="00161123">
            <w:pPr>
              <w:ind w:firstLineChars="900" w:firstLine="2160"/>
              <w:rPr>
                <w:rFonts w:eastAsia="標楷體"/>
              </w:rPr>
            </w:pPr>
            <w:r>
              <w:rPr>
                <w:rFonts w:eastAsia="標楷體"/>
              </w:rPr>
              <w:t xml:space="preserve">                    </w:t>
            </w:r>
            <w:r>
              <w:rPr>
                <w:rFonts w:eastAsia="標楷體" w:hAnsi="標楷體"/>
              </w:rPr>
              <w:t>單位：新台幣仟元</w:t>
            </w:r>
          </w:p>
        </w:tc>
      </w:tr>
      <w:tr w:rsidR="0019438A" w:rsidTr="00192E60">
        <w:trPr>
          <w:tblHeader/>
        </w:trPr>
        <w:tc>
          <w:tcPr>
            <w:tcW w:w="2100"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Default="0019438A">
            <w:pPr>
              <w:ind w:left="57" w:right="57"/>
              <w:jc w:val="right"/>
              <w:rPr>
                <w:rFonts w:eastAsia="標楷體"/>
              </w:rPr>
            </w:pPr>
            <w:r>
              <w:rPr>
                <w:rFonts w:eastAsia="標楷體" w:hAnsi="標楷體"/>
              </w:rPr>
              <w:t>年度</w:t>
            </w:r>
          </w:p>
          <w:p w:rsidR="0019438A" w:rsidRDefault="0019438A">
            <w:pPr>
              <w:rPr>
                <w:rFonts w:eastAsia="標楷體"/>
              </w:rPr>
            </w:pPr>
            <w:r>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19438A" w:rsidRDefault="00192E60" w:rsidP="00161123">
            <w:pPr>
              <w:jc w:val="center"/>
              <w:rPr>
                <w:rFonts w:eastAsia="標楷體"/>
              </w:rPr>
            </w:pPr>
            <w:r>
              <w:rPr>
                <w:rFonts w:eastAsia="標楷體" w:hAnsi="標楷體" w:hint="eastAsia"/>
              </w:rPr>
              <w:t>100</w:t>
            </w:r>
            <w:r w:rsidR="0019438A">
              <w:rPr>
                <w:rFonts w:eastAsia="標楷體" w:hAnsi="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19438A" w:rsidRDefault="00192E60" w:rsidP="00161123">
            <w:pPr>
              <w:jc w:val="center"/>
              <w:rPr>
                <w:rFonts w:eastAsia="標楷體"/>
              </w:rPr>
            </w:pPr>
            <w:r>
              <w:rPr>
                <w:rFonts w:eastAsia="標楷體" w:hAnsi="標楷體" w:hint="eastAsia"/>
              </w:rPr>
              <w:t>101</w:t>
            </w:r>
            <w:r w:rsidR="0019438A">
              <w:rPr>
                <w:rFonts w:eastAsia="標楷體" w:hAnsi="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19438A" w:rsidRDefault="00192E60" w:rsidP="00161123">
            <w:pPr>
              <w:jc w:val="center"/>
              <w:rPr>
                <w:rFonts w:eastAsia="標楷體"/>
              </w:rPr>
            </w:pPr>
            <w:r>
              <w:rPr>
                <w:rFonts w:eastAsia="標楷體" w:hAnsi="標楷體" w:hint="eastAsia"/>
              </w:rPr>
              <w:t>102</w:t>
            </w:r>
            <w:r w:rsidR="0019438A">
              <w:rPr>
                <w:rFonts w:eastAsia="標楷體" w:hAnsi="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19438A" w:rsidRDefault="00192E60" w:rsidP="00161123">
            <w:pPr>
              <w:jc w:val="center"/>
              <w:rPr>
                <w:rFonts w:eastAsia="標楷體"/>
              </w:rPr>
            </w:pPr>
            <w:r>
              <w:rPr>
                <w:rFonts w:eastAsia="標楷體" w:hint="eastAsia"/>
              </w:rPr>
              <w:t>103</w:t>
            </w:r>
            <w:r w:rsidR="0019438A">
              <w:rPr>
                <w:rFonts w:eastAsia="標楷體" w:hint="eastAsia"/>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19438A" w:rsidRDefault="00192E60" w:rsidP="00161123">
            <w:pPr>
              <w:jc w:val="center"/>
              <w:rPr>
                <w:rFonts w:eastAsia="標楷體"/>
              </w:rPr>
            </w:pPr>
            <w:r>
              <w:rPr>
                <w:rFonts w:eastAsia="標楷體" w:hint="eastAsia"/>
              </w:rPr>
              <w:t>104</w:t>
            </w:r>
            <w:r w:rsidR="0019438A">
              <w:rPr>
                <w:rFonts w:eastAsia="標楷體" w:hint="eastAsia"/>
              </w:rPr>
              <w:t>年</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流動資產</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17,347</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46,996</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6,476</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53,808</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121,810</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13,451</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固定資產</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17,166</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30,971</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56,986</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55,499</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51,585</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無形資產</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27,672</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17,905</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20,926</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13,192</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其他資產</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563</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954</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12,646</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14,405</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28,453</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資產總額</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35,076</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106,593</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107,464</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144,638</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215,040</w:t>
            </w:r>
          </w:p>
        </w:tc>
      </w:tr>
      <w:tr w:rsidR="00192E60" w:rsidTr="00192E60">
        <w:tblPrEx>
          <w:tblLook w:val="04A0"/>
        </w:tblPrEx>
        <w:trPr>
          <w:cantSplit/>
        </w:trPr>
        <w:tc>
          <w:tcPr>
            <w:tcW w:w="1022" w:type="dxa"/>
            <w:vMerge w:val="restart"/>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流動</w:t>
            </w:r>
          </w:p>
          <w:p w:rsidR="00192E60" w:rsidRDefault="00192E60">
            <w:pPr>
              <w:jc w:val="distribute"/>
              <w:rPr>
                <w:rFonts w:eastAsia="標楷體"/>
              </w:rPr>
            </w:pPr>
            <w:r>
              <w:rPr>
                <w:rFonts w:eastAsia="標楷體" w:hAnsi="標楷體" w:hint="eastAsia"/>
              </w:rPr>
              <w:t>負債</w:t>
            </w:r>
          </w:p>
        </w:tc>
        <w:tc>
          <w:tcPr>
            <w:tcW w:w="1078" w:type="dxa"/>
            <w:tcBorders>
              <w:top w:val="single" w:sz="6" w:space="0" w:color="auto"/>
              <w:left w:val="single" w:sz="6" w:space="0" w:color="auto"/>
              <w:bottom w:val="single" w:sz="6" w:space="0" w:color="auto"/>
              <w:right w:val="single" w:sz="6" w:space="0" w:color="auto"/>
            </w:tcBorders>
            <w:hideMark/>
          </w:tcPr>
          <w:p w:rsidR="00192E60" w:rsidRPr="006747AA" w:rsidRDefault="00192E60">
            <w:pPr>
              <w:pStyle w:val="ad"/>
              <w:adjustRightInd/>
              <w:snapToGrid/>
              <w:spacing w:line="240" w:lineRule="auto"/>
              <w:rPr>
                <w:kern w:val="2"/>
                <w:szCs w:val="24"/>
                <w:lang w:val="en-US" w:eastAsia="zh-TW"/>
              </w:rPr>
            </w:pPr>
            <w:r w:rsidRPr="006747AA">
              <w:rPr>
                <w:rFonts w:hAnsi="標楷體" w:hint="eastAsia"/>
                <w:kern w:val="2"/>
                <w:szCs w:val="24"/>
                <w:lang w:val="en-US" w:eastAsia="zh-TW"/>
              </w:rPr>
              <w:t>分</w:t>
            </w:r>
            <w:r w:rsidRPr="006747AA">
              <w:rPr>
                <w:rFonts w:hAnsi="標楷體"/>
                <w:kern w:val="2"/>
                <w:szCs w:val="24"/>
                <w:lang w:val="en-US" w:eastAsia="zh-TW"/>
              </w:rPr>
              <w:t xml:space="preserve"> </w:t>
            </w:r>
            <w:r w:rsidRPr="006747AA">
              <w:rPr>
                <w:rFonts w:hAnsi="標楷體" w:hint="eastAsia"/>
                <w:kern w:val="2"/>
                <w:szCs w:val="24"/>
                <w:lang w:val="en-US" w:eastAsia="zh-TW"/>
              </w:rPr>
              <w:t>配</w:t>
            </w:r>
            <w:r w:rsidRPr="006747AA">
              <w:rPr>
                <w:rFonts w:hAnsi="標楷體"/>
                <w:kern w:val="2"/>
                <w:szCs w:val="24"/>
                <w:lang w:val="en-US" w:eastAsia="zh-TW"/>
              </w:rPr>
              <w:t xml:space="preserve"> </w:t>
            </w:r>
            <w:r w:rsidRPr="006747AA">
              <w:rPr>
                <w:rFonts w:hAnsi="標楷體" w:hint="eastAsia"/>
                <w:kern w:val="2"/>
                <w:szCs w:val="24"/>
                <w:lang w:val="en-US" w:eastAsia="zh-TW"/>
              </w:rPr>
              <w:t>前</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1,134</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27,914</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18,210</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6747AA" w:rsidRDefault="00192E60">
            <w:pPr>
              <w:pStyle w:val="ad"/>
              <w:rPr>
                <w:szCs w:val="24"/>
                <w:lang w:val="en-US" w:eastAsia="zh-TW"/>
              </w:rPr>
            </w:pPr>
            <w:r w:rsidRPr="006747AA">
              <w:rPr>
                <w:szCs w:val="24"/>
                <w:lang w:val="en-US" w:eastAsia="zh-TW"/>
              </w:rPr>
              <w:t>31,378</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6747AA" w:rsidRDefault="00192E60">
            <w:pPr>
              <w:pStyle w:val="ad"/>
              <w:rPr>
                <w:szCs w:val="24"/>
                <w:lang w:val="en-US" w:eastAsia="zh-TW"/>
              </w:rPr>
            </w:pPr>
            <w:r w:rsidRPr="006747AA">
              <w:rPr>
                <w:szCs w:val="24"/>
                <w:lang w:val="en-US" w:eastAsia="zh-TW"/>
              </w:rPr>
              <w:t>28,834</w:t>
            </w:r>
          </w:p>
        </w:tc>
      </w:tr>
      <w:tr w:rsidR="00192E60" w:rsidTr="00192E60">
        <w:tblPrEx>
          <w:tblLook w:val="04A0"/>
        </w:tblPrEx>
        <w:trPr>
          <w:cantSplit/>
        </w:trPr>
        <w:tc>
          <w:tcPr>
            <w:tcW w:w="1022" w:type="dxa"/>
            <w:vMerge/>
            <w:tcBorders>
              <w:top w:val="single" w:sz="6" w:space="0" w:color="auto"/>
              <w:left w:val="single" w:sz="12" w:space="0" w:color="auto"/>
              <w:bottom w:val="single" w:sz="6" w:space="0" w:color="auto"/>
              <w:right w:val="single" w:sz="6" w:space="0" w:color="auto"/>
            </w:tcBorders>
            <w:vAlign w:val="center"/>
            <w:hideMark/>
          </w:tcPr>
          <w:p w:rsidR="00192E60" w:rsidRDefault="00192E60">
            <w:pPr>
              <w:widowControl/>
              <w:rPr>
                <w:rFonts w:eastAsia="標楷體"/>
              </w:rPr>
            </w:pPr>
          </w:p>
        </w:tc>
        <w:tc>
          <w:tcPr>
            <w:tcW w:w="1078" w:type="dxa"/>
            <w:tcBorders>
              <w:top w:val="single" w:sz="6" w:space="0" w:color="auto"/>
              <w:left w:val="single" w:sz="6" w:space="0" w:color="auto"/>
              <w:bottom w:val="single" w:sz="6" w:space="0" w:color="auto"/>
              <w:right w:val="single" w:sz="6" w:space="0" w:color="auto"/>
            </w:tcBorders>
            <w:hideMark/>
          </w:tcPr>
          <w:p w:rsidR="00192E60" w:rsidRDefault="00192E60">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1,134</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27,914</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18,210</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6747AA" w:rsidRDefault="00192E60">
            <w:pPr>
              <w:pStyle w:val="ad"/>
              <w:rPr>
                <w:szCs w:val="24"/>
                <w:lang w:val="en-US" w:eastAsia="zh-TW"/>
              </w:rPr>
            </w:pPr>
            <w:r w:rsidRPr="006747AA">
              <w:rPr>
                <w:szCs w:val="24"/>
                <w:lang w:val="en-US" w:eastAsia="zh-TW"/>
              </w:rPr>
              <w:t>31,378</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6747AA" w:rsidRDefault="00192E60">
            <w:pPr>
              <w:pStyle w:val="ad"/>
              <w:rPr>
                <w:szCs w:val="24"/>
                <w:lang w:val="en-US" w:eastAsia="zh-TW"/>
              </w:rPr>
            </w:pPr>
            <w:r w:rsidRPr="006747AA">
              <w:rPr>
                <w:szCs w:val="24"/>
                <w:lang w:val="en-US" w:eastAsia="zh-TW"/>
              </w:rPr>
              <w:t>28,834</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長期負債</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1,125</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18,231</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其他負債</w:t>
            </w:r>
          </w:p>
        </w:tc>
        <w:tc>
          <w:tcPr>
            <w:tcW w:w="1668" w:type="dxa"/>
            <w:tcBorders>
              <w:top w:val="single" w:sz="6" w:space="0" w:color="auto"/>
              <w:left w:val="single" w:sz="6" w:space="0" w:color="auto"/>
              <w:bottom w:val="single" w:sz="6" w:space="0" w:color="auto"/>
              <w:right w:val="single" w:sz="6" w:space="0" w:color="auto"/>
            </w:tcBorders>
            <w:hideMark/>
          </w:tcPr>
          <w:p w:rsidR="00192E60" w:rsidRPr="00192E60" w:rsidRDefault="00192E60">
            <w:pPr>
              <w:ind w:right="113"/>
              <w:jc w:val="right"/>
              <w:rPr>
                <w:rFonts w:eastAsia="標楷體"/>
              </w:rPr>
            </w:pPr>
            <w:r w:rsidRPr="00192E60">
              <w:rPr>
                <w:rFonts w:eastAsia="標楷體"/>
              </w:rPr>
              <w:t>-</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141,153</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135,418</w:t>
            </w:r>
          </w:p>
        </w:tc>
      </w:tr>
      <w:tr w:rsidR="00192E60" w:rsidTr="00192E60">
        <w:tblPrEx>
          <w:tblLook w:val="04A0"/>
        </w:tblPrEx>
        <w:trPr>
          <w:cantSplit/>
        </w:trPr>
        <w:tc>
          <w:tcPr>
            <w:tcW w:w="1022" w:type="dxa"/>
            <w:vMerge w:val="restart"/>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負債</w:t>
            </w:r>
          </w:p>
          <w:p w:rsidR="00192E60" w:rsidRDefault="00192E60">
            <w:pPr>
              <w:jc w:val="distribute"/>
              <w:rPr>
                <w:rFonts w:eastAsia="標楷體"/>
              </w:rPr>
            </w:pPr>
            <w:r>
              <w:rPr>
                <w:rFonts w:eastAsia="標楷體" w:hAnsi="標楷體" w:hint="eastAsia"/>
              </w:rPr>
              <w:lastRenderedPageBreak/>
              <w:t>總額</w:t>
            </w:r>
          </w:p>
        </w:tc>
        <w:tc>
          <w:tcPr>
            <w:tcW w:w="1078" w:type="dxa"/>
            <w:tcBorders>
              <w:top w:val="single" w:sz="6" w:space="0" w:color="auto"/>
              <w:left w:val="single" w:sz="6" w:space="0" w:color="auto"/>
              <w:bottom w:val="single" w:sz="6" w:space="0" w:color="auto"/>
              <w:right w:val="single" w:sz="6" w:space="0" w:color="auto"/>
            </w:tcBorders>
            <w:hideMark/>
          </w:tcPr>
          <w:p w:rsidR="00192E60" w:rsidRPr="006747AA" w:rsidRDefault="00192E60">
            <w:pPr>
              <w:pStyle w:val="ad"/>
              <w:adjustRightInd/>
              <w:snapToGrid/>
              <w:spacing w:line="240" w:lineRule="auto"/>
              <w:rPr>
                <w:kern w:val="2"/>
                <w:szCs w:val="24"/>
                <w:lang w:val="en-US" w:eastAsia="zh-TW"/>
              </w:rPr>
            </w:pPr>
            <w:r w:rsidRPr="006747AA">
              <w:rPr>
                <w:rFonts w:hAnsi="標楷體" w:hint="eastAsia"/>
                <w:kern w:val="2"/>
                <w:szCs w:val="24"/>
                <w:lang w:val="en-US" w:eastAsia="zh-TW"/>
              </w:rPr>
              <w:lastRenderedPageBreak/>
              <w:t>分</w:t>
            </w:r>
            <w:r w:rsidRPr="006747AA">
              <w:rPr>
                <w:rFonts w:hAnsi="標楷體"/>
                <w:kern w:val="2"/>
                <w:szCs w:val="24"/>
                <w:lang w:val="en-US" w:eastAsia="zh-TW"/>
              </w:rPr>
              <w:t xml:space="preserve"> </w:t>
            </w:r>
            <w:r w:rsidRPr="006747AA">
              <w:rPr>
                <w:rFonts w:hAnsi="標楷體" w:hint="eastAsia"/>
                <w:kern w:val="2"/>
                <w:szCs w:val="24"/>
                <w:lang w:val="en-US" w:eastAsia="zh-TW"/>
              </w:rPr>
              <w:t>配</w:t>
            </w:r>
            <w:r w:rsidRPr="006747AA">
              <w:rPr>
                <w:rFonts w:hAnsi="標楷體"/>
                <w:kern w:val="2"/>
                <w:szCs w:val="24"/>
                <w:lang w:val="en-US" w:eastAsia="zh-TW"/>
              </w:rPr>
              <w:t xml:space="preserve"> </w:t>
            </w:r>
            <w:r w:rsidRPr="006747AA">
              <w:rPr>
                <w:rFonts w:hAnsi="標楷體" w:hint="eastAsia"/>
                <w:kern w:val="2"/>
                <w:szCs w:val="24"/>
                <w:lang w:val="en-US" w:eastAsia="zh-TW"/>
              </w:rPr>
              <w:t>前</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1,134</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29,039</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36,441</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6747AA" w:rsidRDefault="00192E60">
            <w:pPr>
              <w:pStyle w:val="ad"/>
              <w:rPr>
                <w:szCs w:val="24"/>
                <w:lang w:val="en-US" w:eastAsia="zh-TW"/>
              </w:rPr>
            </w:pPr>
            <w:r w:rsidRPr="006747AA">
              <w:rPr>
                <w:szCs w:val="24"/>
                <w:lang w:val="en-US" w:eastAsia="zh-TW"/>
              </w:rPr>
              <w:t>172,531</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6747AA" w:rsidRDefault="00192E60">
            <w:pPr>
              <w:pStyle w:val="ad"/>
              <w:rPr>
                <w:szCs w:val="24"/>
                <w:lang w:val="en-US" w:eastAsia="zh-TW"/>
              </w:rPr>
            </w:pPr>
            <w:r w:rsidRPr="006747AA">
              <w:rPr>
                <w:szCs w:val="24"/>
                <w:lang w:val="en-US" w:eastAsia="zh-TW"/>
              </w:rPr>
              <w:t>164,252</w:t>
            </w:r>
          </w:p>
        </w:tc>
      </w:tr>
      <w:tr w:rsidR="00192E60" w:rsidTr="00192E60">
        <w:tblPrEx>
          <w:tblLook w:val="04A0"/>
        </w:tblPrEx>
        <w:trPr>
          <w:cantSplit/>
        </w:trPr>
        <w:tc>
          <w:tcPr>
            <w:tcW w:w="1022" w:type="dxa"/>
            <w:vMerge/>
            <w:tcBorders>
              <w:top w:val="single" w:sz="6" w:space="0" w:color="auto"/>
              <w:left w:val="single" w:sz="12" w:space="0" w:color="auto"/>
              <w:bottom w:val="single" w:sz="6" w:space="0" w:color="auto"/>
              <w:right w:val="single" w:sz="6" w:space="0" w:color="auto"/>
            </w:tcBorders>
            <w:vAlign w:val="center"/>
            <w:hideMark/>
          </w:tcPr>
          <w:p w:rsidR="00192E60" w:rsidRDefault="00192E60">
            <w:pPr>
              <w:widowControl/>
              <w:rPr>
                <w:rFonts w:eastAsia="標楷體"/>
              </w:rPr>
            </w:pPr>
          </w:p>
        </w:tc>
        <w:tc>
          <w:tcPr>
            <w:tcW w:w="1078" w:type="dxa"/>
            <w:tcBorders>
              <w:top w:val="single" w:sz="6" w:space="0" w:color="auto"/>
              <w:left w:val="single" w:sz="6" w:space="0" w:color="auto"/>
              <w:bottom w:val="single" w:sz="6" w:space="0" w:color="auto"/>
              <w:right w:val="single" w:sz="6" w:space="0" w:color="auto"/>
            </w:tcBorders>
            <w:hideMark/>
          </w:tcPr>
          <w:p w:rsidR="00192E60" w:rsidRDefault="00192E60">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1,134</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29,039</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36,441</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6747AA" w:rsidRDefault="00192E60">
            <w:pPr>
              <w:pStyle w:val="ad"/>
              <w:rPr>
                <w:szCs w:val="24"/>
                <w:lang w:val="en-US" w:eastAsia="zh-TW"/>
              </w:rPr>
            </w:pPr>
            <w:r w:rsidRPr="006747AA">
              <w:rPr>
                <w:szCs w:val="24"/>
                <w:lang w:val="en-US" w:eastAsia="zh-TW"/>
              </w:rPr>
              <w:t>172,531</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6747AA" w:rsidRDefault="00192E60">
            <w:pPr>
              <w:pStyle w:val="ad"/>
              <w:rPr>
                <w:szCs w:val="24"/>
                <w:lang w:val="en-US" w:eastAsia="zh-TW"/>
              </w:rPr>
            </w:pPr>
            <w:r w:rsidRPr="006747AA">
              <w:rPr>
                <w:szCs w:val="24"/>
                <w:lang w:val="en-US" w:eastAsia="zh-TW"/>
              </w:rPr>
              <w:t>164,252</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lastRenderedPageBreak/>
              <w:t>股本</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40,000</w:t>
            </w:r>
          </w:p>
        </w:tc>
        <w:tc>
          <w:tcPr>
            <w:tcW w:w="1736"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82,500</w:t>
            </w:r>
          </w:p>
        </w:tc>
        <w:tc>
          <w:tcPr>
            <w:tcW w:w="1665"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100,000</w:t>
            </w:r>
          </w:p>
        </w:tc>
        <w:tc>
          <w:tcPr>
            <w:tcW w:w="1610" w:type="dxa"/>
            <w:tcBorders>
              <w:top w:val="single" w:sz="6" w:space="0" w:color="auto"/>
              <w:left w:val="single" w:sz="6" w:space="0" w:color="auto"/>
              <w:bottom w:val="single" w:sz="6" w:space="0" w:color="auto"/>
              <w:right w:val="single" w:sz="6" w:space="0" w:color="auto"/>
            </w:tcBorders>
            <w:hideMark/>
          </w:tcPr>
          <w:p w:rsidR="00192E60" w:rsidRPr="00192E60" w:rsidRDefault="00192E60">
            <w:pPr>
              <w:jc w:val="right"/>
              <w:rPr>
                <w:rFonts w:eastAsia="標楷體"/>
              </w:rPr>
            </w:pPr>
            <w:r w:rsidRPr="00192E60">
              <w:rPr>
                <w:rFonts w:eastAsia="標楷體"/>
              </w:rPr>
              <w:t>112,000</w:t>
            </w:r>
          </w:p>
        </w:tc>
        <w:tc>
          <w:tcPr>
            <w:tcW w:w="1691" w:type="dxa"/>
            <w:tcBorders>
              <w:top w:val="single" w:sz="6" w:space="0" w:color="auto"/>
              <w:left w:val="single" w:sz="4" w:space="0" w:color="auto"/>
              <w:bottom w:val="single" w:sz="6" w:space="0" w:color="auto"/>
              <w:right w:val="single" w:sz="12" w:space="0" w:color="auto"/>
            </w:tcBorders>
            <w:hideMark/>
          </w:tcPr>
          <w:p w:rsidR="00192E60" w:rsidRPr="00192E60" w:rsidRDefault="00192E60">
            <w:pPr>
              <w:jc w:val="right"/>
              <w:rPr>
                <w:rFonts w:eastAsia="標楷體"/>
              </w:rPr>
            </w:pPr>
            <w:r w:rsidRPr="00192E60">
              <w:rPr>
                <w:rFonts w:eastAsia="標楷體"/>
              </w:rPr>
              <w:t>250,890</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資本公積</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18,000</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32,000</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50,000</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jc w:val="right"/>
              <w:rPr>
                <w:rFonts w:eastAsia="標楷體"/>
              </w:rPr>
            </w:pPr>
            <w:r w:rsidRPr="00192E60">
              <w:rPr>
                <w:rFonts w:eastAsia="標楷體"/>
              </w:rPr>
              <w:t>91,250</w:t>
            </w:r>
          </w:p>
        </w:tc>
      </w:tr>
      <w:tr w:rsidR="00192E60" w:rsidTr="00192E60">
        <w:tblPrEx>
          <w:tblLook w:val="04A0"/>
        </w:tblPrEx>
        <w:trPr>
          <w:cantSplit/>
        </w:trPr>
        <w:tc>
          <w:tcPr>
            <w:tcW w:w="1022" w:type="dxa"/>
            <w:vMerge w:val="restart"/>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保留</w:t>
            </w:r>
          </w:p>
          <w:p w:rsidR="00192E60" w:rsidRDefault="00192E60">
            <w:pPr>
              <w:jc w:val="distribute"/>
              <w:rPr>
                <w:rFonts w:eastAsia="標楷體"/>
              </w:rPr>
            </w:pPr>
            <w:r>
              <w:rPr>
                <w:rFonts w:eastAsia="標楷體" w:hAnsi="標楷體" w:hint="eastAsia"/>
              </w:rPr>
              <w:t>盈餘</w:t>
            </w:r>
          </w:p>
        </w:tc>
        <w:tc>
          <w:tcPr>
            <w:tcW w:w="1078" w:type="dxa"/>
            <w:tcBorders>
              <w:top w:val="single" w:sz="6" w:space="0" w:color="auto"/>
              <w:left w:val="single" w:sz="6" w:space="0" w:color="auto"/>
              <w:bottom w:val="single" w:sz="6" w:space="0" w:color="auto"/>
              <w:right w:val="single" w:sz="6" w:space="0" w:color="auto"/>
            </w:tcBorders>
            <w:hideMark/>
          </w:tcPr>
          <w:p w:rsidR="00192E60" w:rsidRPr="006747AA" w:rsidRDefault="00192E60">
            <w:pPr>
              <w:pStyle w:val="ad"/>
              <w:adjustRightInd/>
              <w:snapToGrid/>
              <w:spacing w:line="240" w:lineRule="auto"/>
              <w:rPr>
                <w:kern w:val="2"/>
                <w:szCs w:val="24"/>
                <w:lang w:val="en-US" w:eastAsia="zh-TW"/>
              </w:rPr>
            </w:pPr>
            <w:r w:rsidRPr="006747AA">
              <w:rPr>
                <w:rFonts w:hAnsi="標楷體" w:hint="eastAsia"/>
                <w:kern w:val="2"/>
                <w:szCs w:val="24"/>
                <w:lang w:val="en-US" w:eastAsia="zh-TW"/>
              </w:rPr>
              <w:t>分</w:t>
            </w:r>
            <w:r w:rsidRPr="006747AA">
              <w:rPr>
                <w:rFonts w:hAnsi="標楷體"/>
                <w:kern w:val="2"/>
                <w:szCs w:val="24"/>
                <w:lang w:val="en-US" w:eastAsia="zh-TW"/>
              </w:rPr>
              <w:t xml:space="preserve"> </w:t>
            </w:r>
            <w:r w:rsidRPr="006747AA">
              <w:rPr>
                <w:rFonts w:hAnsi="標楷體" w:hint="eastAsia"/>
                <w:kern w:val="2"/>
                <w:szCs w:val="24"/>
                <w:lang w:val="en-US" w:eastAsia="zh-TW"/>
              </w:rPr>
              <w:t>配</w:t>
            </w:r>
            <w:r w:rsidRPr="006747AA">
              <w:rPr>
                <w:rFonts w:hAnsi="標楷體"/>
                <w:kern w:val="2"/>
                <w:szCs w:val="24"/>
                <w:lang w:val="en-US" w:eastAsia="zh-TW"/>
              </w:rPr>
              <w:t xml:space="preserve"> </w:t>
            </w:r>
            <w:r w:rsidRPr="006747AA">
              <w:rPr>
                <w:rFonts w:hAnsi="標楷體" w:hint="eastAsia"/>
                <w:kern w:val="2"/>
                <w:szCs w:val="24"/>
                <w:lang w:val="en-US" w:eastAsia="zh-TW"/>
              </w:rPr>
              <w:t>前</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(6,058)</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(22,946)</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(60,977)</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6747AA" w:rsidRDefault="00192E60">
            <w:pPr>
              <w:pStyle w:val="ad"/>
              <w:rPr>
                <w:b/>
                <w:szCs w:val="24"/>
                <w:lang w:val="en-US" w:eastAsia="zh-TW"/>
              </w:rPr>
            </w:pPr>
            <w:r w:rsidRPr="006747AA">
              <w:rPr>
                <w:lang w:val="en-US" w:eastAsia="zh-TW"/>
              </w:rPr>
              <w:t>(99,994)</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6747AA" w:rsidRDefault="00192E60">
            <w:pPr>
              <w:pStyle w:val="ad"/>
              <w:rPr>
                <w:b/>
                <w:szCs w:val="24"/>
                <w:lang w:val="en-US" w:eastAsia="zh-TW"/>
              </w:rPr>
            </w:pPr>
            <w:r w:rsidRPr="006747AA">
              <w:rPr>
                <w:lang w:val="en-US" w:eastAsia="zh-TW"/>
              </w:rPr>
              <w:t>(283,414)</w:t>
            </w:r>
          </w:p>
        </w:tc>
      </w:tr>
      <w:tr w:rsidR="00192E60" w:rsidTr="00192E60">
        <w:tblPrEx>
          <w:tblLook w:val="04A0"/>
        </w:tblPrEx>
        <w:trPr>
          <w:cantSplit/>
        </w:trPr>
        <w:tc>
          <w:tcPr>
            <w:tcW w:w="1022" w:type="dxa"/>
            <w:vMerge/>
            <w:tcBorders>
              <w:top w:val="single" w:sz="6" w:space="0" w:color="auto"/>
              <w:left w:val="single" w:sz="12" w:space="0" w:color="auto"/>
              <w:bottom w:val="single" w:sz="6" w:space="0" w:color="auto"/>
              <w:right w:val="single" w:sz="6" w:space="0" w:color="auto"/>
            </w:tcBorders>
            <w:vAlign w:val="center"/>
            <w:hideMark/>
          </w:tcPr>
          <w:p w:rsidR="00192E60" w:rsidRDefault="00192E60">
            <w:pPr>
              <w:widowControl/>
              <w:rPr>
                <w:rFonts w:eastAsia="標楷體"/>
              </w:rPr>
            </w:pPr>
          </w:p>
        </w:tc>
        <w:tc>
          <w:tcPr>
            <w:tcW w:w="1078" w:type="dxa"/>
            <w:tcBorders>
              <w:top w:val="single" w:sz="6" w:space="0" w:color="auto"/>
              <w:left w:val="single" w:sz="6" w:space="0" w:color="auto"/>
              <w:bottom w:val="single" w:sz="6" w:space="0" w:color="auto"/>
              <w:right w:val="single" w:sz="6" w:space="0" w:color="auto"/>
            </w:tcBorders>
            <w:hideMark/>
          </w:tcPr>
          <w:p w:rsidR="00192E60" w:rsidRDefault="00192E60">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(6,058)</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(22,946)</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(60,977)</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6747AA" w:rsidRDefault="00192E60">
            <w:pPr>
              <w:pStyle w:val="ad"/>
              <w:rPr>
                <w:b/>
                <w:szCs w:val="24"/>
                <w:lang w:val="en-US" w:eastAsia="zh-TW"/>
              </w:rPr>
            </w:pPr>
            <w:r w:rsidRPr="006747AA">
              <w:rPr>
                <w:lang w:val="en-US" w:eastAsia="zh-TW"/>
              </w:rPr>
              <w:t>(99,994)</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6747AA" w:rsidRDefault="00192E60">
            <w:pPr>
              <w:pStyle w:val="ad"/>
              <w:rPr>
                <w:b/>
                <w:szCs w:val="24"/>
                <w:lang w:val="en-US" w:eastAsia="zh-TW"/>
              </w:rPr>
            </w:pPr>
            <w:r w:rsidRPr="006747AA">
              <w:rPr>
                <w:lang w:val="en-US" w:eastAsia="zh-TW"/>
              </w:rPr>
              <w:t>(283,414)</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長期股權投資</w:t>
            </w:r>
          </w:p>
          <w:p w:rsidR="00192E60" w:rsidRDefault="00192E60">
            <w:pPr>
              <w:jc w:val="distribute"/>
              <w:rPr>
                <w:rFonts w:eastAsia="標楷體"/>
              </w:rPr>
            </w:pPr>
            <w:r>
              <w:rPr>
                <w:rFonts w:eastAsia="標楷體" w:hAnsi="標楷體" w:hint="eastAsia"/>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jc w:val="right"/>
              <w:rPr>
                <w:rFonts w:eastAsia="標楷體"/>
              </w:rPr>
            </w:pPr>
            <w:r w:rsidRPr="00192E60">
              <w:rPr>
                <w:rFonts w:eastAsia="標楷體"/>
              </w:rPr>
              <w:t>-</w:t>
            </w:r>
          </w:p>
        </w:tc>
      </w:tr>
      <w:tr w:rsidR="00192E60" w:rsidTr="00192E60">
        <w:tblPrEx>
          <w:tblLook w:val="04A0"/>
        </w:tblPrEx>
        <w:tc>
          <w:tcPr>
            <w:tcW w:w="2100" w:type="dxa"/>
            <w:gridSpan w:val="2"/>
            <w:tcBorders>
              <w:top w:val="single" w:sz="6" w:space="0" w:color="auto"/>
              <w:left w:val="single" w:sz="12" w:space="0" w:color="auto"/>
              <w:bottom w:val="single" w:sz="6"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6747AA" w:rsidRDefault="00192E60">
            <w:pPr>
              <w:pStyle w:val="ad"/>
              <w:rPr>
                <w:szCs w:val="24"/>
                <w:lang w:val="en-US" w:eastAsia="zh-TW"/>
              </w:rPr>
            </w:pPr>
            <w:r w:rsidRPr="006747AA">
              <w:rPr>
                <w:szCs w:val="24"/>
                <w:lang w:val="en-US" w:eastAsia="zh-TW"/>
              </w:rPr>
              <w:t>-</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jc w:val="right"/>
              <w:rPr>
                <w:rFonts w:eastAsia="標楷體"/>
              </w:rPr>
            </w:pPr>
            <w:r w:rsidRPr="00192E60">
              <w:rPr>
                <w:rFonts w:eastAsia="標楷體"/>
              </w:rPr>
              <w:t>(3,106)</w:t>
            </w:r>
          </w:p>
        </w:tc>
      </w:tr>
      <w:tr w:rsidR="00192E60" w:rsidTr="00192E60">
        <w:tblPrEx>
          <w:tblLook w:val="04A0"/>
        </w:tblPrEx>
        <w:trPr>
          <w:cantSplit/>
        </w:trPr>
        <w:tc>
          <w:tcPr>
            <w:tcW w:w="1022" w:type="dxa"/>
            <w:vMerge w:val="restart"/>
            <w:tcBorders>
              <w:top w:val="single" w:sz="6" w:space="0" w:color="auto"/>
              <w:left w:val="single" w:sz="12" w:space="0" w:color="auto"/>
              <w:bottom w:val="single" w:sz="12" w:space="0" w:color="auto"/>
              <w:right w:val="single" w:sz="6" w:space="0" w:color="auto"/>
            </w:tcBorders>
            <w:vAlign w:val="center"/>
            <w:hideMark/>
          </w:tcPr>
          <w:p w:rsidR="00192E60" w:rsidRDefault="00192E60">
            <w:pPr>
              <w:jc w:val="distribute"/>
              <w:rPr>
                <w:rFonts w:eastAsia="標楷體"/>
              </w:rPr>
            </w:pPr>
            <w:r>
              <w:rPr>
                <w:rFonts w:eastAsia="標楷體" w:hAnsi="標楷體" w:hint="eastAsia"/>
              </w:rPr>
              <w:t>股東權益總額</w:t>
            </w:r>
          </w:p>
        </w:tc>
        <w:tc>
          <w:tcPr>
            <w:tcW w:w="1078" w:type="dxa"/>
            <w:tcBorders>
              <w:top w:val="single" w:sz="6" w:space="0" w:color="auto"/>
              <w:left w:val="single" w:sz="6" w:space="0" w:color="auto"/>
              <w:bottom w:val="single" w:sz="6" w:space="0" w:color="auto"/>
              <w:right w:val="single" w:sz="6" w:space="0" w:color="auto"/>
            </w:tcBorders>
            <w:hideMark/>
          </w:tcPr>
          <w:p w:rsidR="00192E60" w:rsidRPr="006747AA" w:rsidRDefault="00192E60">
            <w:pPr>
              <w:pStyle w:val="ad"/>
              <w:adjustRightInd/>
              <w:snapToGrid/>
              <w:spacing w:line="240" w:lineRule="auto"/>
              <w:rPr>
                <w:kern w:val="2"/>
                <w:szCs w:val="24"/>
                <w:lang w:val="en-US" w:eastAsia="zh-TW"/>
              </w:rPr>
            </w:pPr>
            <w:r w:rsidRPr="006747AA">
              <w:rPr>
                <w:rFonts w:hAnsi="標楷體" w:hint="eastAsia"/>
                <w:kern w:val="2"/>
                <w:szCs w:val="24"/>
                <w:lang w:val="en-US" w:eastAsia="zh-TW"/>
              </w:rPr>
              <w:t>分</w:t>
            </w:r>
            <w:r w:rsidRPr="006747AA">
              <w:rPr>
                <w:rFonts w:hAnsi="標楷體"/>
                <w:kern w:val="2"/>
                <w:szCs w:val="24"/>
                <w:lang w:val="en-US" w:eastAsia="zh-TW"/>
              </w:rPr>
              <w:t xml:space="preserve"> </w:t>
            </w:r>
            <w:r w:rsidRPr="006747AA">
              <w:rPr>
                <w:rFonts w:hAnsi="標楷體" w:hint="eastAsia"/>
                <w:kern w:val="2"/>
                <w:szCs w:val="24"/>
                <w:lang w:val="en-US" w:eastAsia="zh-TW"/>
              </w:rPr>
              <w:t>配</w:t>
            </w:r>
            <w:r w:rsidRPr="006747AA">
              <w:rPr>
                <w:rFonts w:hAnsi="標楷體"/>
                <w:kern w:val="2"/>
                <w:szCs w:val="24"/>
                <w:lang w:val="en-US" w:eastAsia="zh-TW"/>
              </w:rPr>
              <w:t xml:space="preserve"> </w:t>
            </w:r>
            <w:r w:rsidRPr="006747AA">
              <w:rPr>
                <w:rFonts w:hAnsi="標楷體" w:hint="eastAsia"/>
                <w:kern w:val="2"/>
                <w:szCs w:val="24"/>
                <w:lang w:val="en-US" w:eastAsia="zh-TW"/>
              </w:rPr>
              <w:t>前</w:t>
            </w:r>
          </w:p>
        </w:tc>
        <w:tc>
          <w:tcPr>
            <w:tcW w:w="1668"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33,942</w:t>
            </w:r>
          </w:p>
        </w:tc>
        <w:tc>
          <w:tcPr>
            <w:tcW w:w="1736"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77,554</w:t>
            </w:r>
          </w:p>
        </w:tc>
        <w:tc>
          <w:tcPr>
            <w:tcW w:w="1665"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71,023</w:t>
            </w:r>
          </w:p>
        </w:tc>
        <w:tc>
          <w:tcPr>
            <w:tcW w:w="1610" w:type="dxa"/>
            <w:tcBorders>
              <w:top w:val="single" w:sz="6" w:space="0" w:color="auto"/>
              <w:left w:val="single" w:sz="6" w:space="0" w:color="auto"/>
              <w:bottom w:val="single" w:sz="6"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62,006</w:t>
            </w:r>
          </w:p>
        </w:tc>
        <w:tc>
          <w:tcPr>
            <w:tcW w:w="1691" w:type="dxa"/>
            <w:tcBorders>
              <w:top w:val="single" w:sz="6" w:space="0" w:color="auto"/>
              <w:left w:val="single" w:sz="4" w:space="0" w:color="auto"/>
              <w:bottom w:val="single" w:sz="6" w:space="0" w:color="auto"/>
              <w:right w:val="single" w:sz="12" w:space="0" w:color="auto"/>
            </w:tcBorders>
            <w:vAlign w:val="center"/>
            <w:hideMark/>
          </w:tcPr>
          <w:p w:rsidR="00192E60" w:rsidRPr="00192E60" w:rsidRDefault="00192E60">
            <w:pPr>
              <w:jc w:val="right"/>
              <w:rPr>
                <w:rFonts w:eastAsia="標楷體"/>
              </w:rPr>
            </w:pPr>
            <w:r w:rsidRPr="00192E60">
              <w:rPr>
                <w:rFonts w:eastAsia="標楷體"/>
              </w:rPr>
              <w:t>55,620</w:t>
            </w:r>
          </w:p>
        </w:tc>
      </w:tr>
      <w:tr w:rsidR="00192E60" w:rsidTr="00192E60">
        <w:tblPrEx>
          <w:tblLook w:val="04A0"/>
        </w:tblPrEx>
        <w:trPr>
          <w:cantSplit/>
        </w:trPr>
        <w:tc>
          <w:tcPr>
            <w:tcW w:w="1022" w:type="dxa"/>
            <w:vMerge/>
            <w:tcBorders>
              <w:top w:val="single" w:sz="6" w:space="0" w:color="auto"/>
              <w:left w:val="single" w:sz="12" w:space="0" w:color="auto"/>
              <w:bottom w:val="single" w:sz="12" w:space="0" w:color="auto"/>
              <w:right w:val="single" w:sz="6" w:space="0" w:color="auto"/>
            </w:tcBorders>
            <w:vAlign w:val="center"/>
            <w:hideMark/>
          </w:tcPr>
          <w:p w:rsidR="00192E60" w:rsidRDefault="00192E60">
            <w:pPr>
              <w:widowControl/>
              <w:rPr>
                <w:rFonts w:eastAsia="標楷體"/>
              </w:rPr>
            </w:pPr>
          </w:p>
        </w:tc>
        <w:tc>
          <w:tcPr>
            <w:tcW w:w="1078" w:type="dxa"/>
            <w:tcBorders>
              <w:top w:val="single" w:sz="6" w:space="0" w:color="auto"/>
              <w:left w:val="single" w:sz="6" w:space="0" w:color="auto"/>
              <w:bottom w:val="single" w:sz="12" w:space="0" w:color="auto"/>
              <w:right w:val="single" w:sz="6" w:space="0" w:color="auto"/>
            </w:tcBorders>
            <w:hideMark/>
          </w:tcPr>
          <w:p w:rsidR="00192E60" w:rsidRDefault="00192E60">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12" w:space="0" w:color="auto"/>
              <w:right w:val="single" w:sz="6" w:space="0" w:color="auto"/>
            </w:tcBorders>
            <w:vAlign w:val="center"/>
            <w:hideMark/>
          </w:tcPr>
          <w:p w:rsidR="00192E60" w:rsidRPr="00192E60" w:rsidRDefault="00192E60">
            <w:pPr>
              <w:ind w:right="57"/>
              <w:jc w:val="right"/>
              <w:rPr>
                <w:rFonts w:eastAsia="標楷體"/>
              </w:rPr>
            </w:pPr>
            <w:r w:rsidRPr="00192E60">
              <w:rPr>
                <w:rFonts w:eastAsia="標楷體"/>
              </w:rPr>
              <w:t>33,942</w:t>
            </w:r>
          </w:p>
        </w:tc>
        <w:tc>
          <w:tcPr>
            <w:tcW w:w="1736" w:type="dxa"/>
            <w:tcBorders>
              <w:top w:val="single" w:sz="6" w:space="0" w:color="auto"/>
              <w:left w:val="single" w:sz="6" w:space="0" w:color="auto"/>
              <w:bottom w:val="single" w:sz="12"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77,554</w:t>
            </w:r>
          </w:p>
        </w:tc>
        <w:tc>
          <w:tcPr>
            <w:tcW w:w="1665" w:type="dxa"/>
            <w:tcBorders>
              <w:top w:val="single" w:sz="6" w:space="0" w:color="auto"/>
              <w:left w:val="single" w:sz="6" w:space="0" w:color="auto"/>
              <w:bottom w:val="single" w:sz="12"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71,023</w:t>
            </w:r>
          </w:p>
        </w:tc>
        <w:tc>
          <w:tcPr>
            <w:tcW w:w="1610" w:type="dxa"/>
            <w:tcBorders>
              <w:top w:val="single" w:sz="6" w:space="0" w:color="auto"/>
              <w:left w:val="single" w:sz="6" w:space="0" w:color="auto"/>
              <w:bottom w:val="single" w:sz="12" w:space="0" w:color="auto"/>
              <w:right w:val="single" w:sz="6" w:space="0" w:color="auto"/>
            </w:tcBorders>
            <w:vAlign w:val="center"/>
            <w:hideMark/>
          </w:tcPr>
          <w:p w:rsidR="00192E60" w:rsidRPr="00192E60" w:rsidRDefault="00192E60">
            <w:pPr>
              <w:jc w:val="right"/>
              <w:rPr>
                <w:rFonts w:eastAsia="標楷體"/>
              </w:rPr>
            </w:pPr>
            <w:r w:rsidRPr="00192E60">
              <w:rPr>
                <w:rFonts w:eastAsia="標楷體"/>
              </w:rPr>
              <w:t>62,006</w:t>
            </w:r>
          </w:p>
        </w:tc>
        <w:tc>
          <w:tcPr>
            <w:tcW w:w="1691" w:type="dxa"/>
            <w:tcBorders>
              <w:top w:val="single" w:sz="6" w:space="0" w:color="auto"/>
              <w:left w:val="single" w:sz="4" w:space="0" w:color="auto"/>
              <w:bottom w:val="single" w:sz="12" w:space="0" w:color="auto"/>
              <w:right w:val="single" w:sz="12" w:space="0" w:color="auto"/>
            </w:tcBorders>
            <w:vAlign w:val="center"/>
            <w:hideMark/>
          </w:tcPr>
          <w:p w:rsidR="00192E60" w:rsidRPr="00192E60" w:rsidRDefault="00192E60">
            <w:pPr>
              <w:jc w:val="right"/>
              <w:rPr>
                <w:rFonts w:eastAsia="標楷體"/>
              </w:rPr>
            </w:pPr>
            <w:r w:rsidRPr="00192E60">
              <w:rPr>
                <w:rFonts w:eastAsia="標楷體"/>
              </w:rPr>
              <w:t>55,620</w:t>
            </w:r>
          </w:p>
        </w:tc>
      </w:tr>
    </w:tbl>
    <w:p w:rsidR="003F6C96" w:rsidRPr="00AE01E1" w:rsidRDefault="003F6C96" w:rsidP="003F6C96">
      <w:pPr>
        <w:ind w:left="425" w:hangingChars="177" w:hanging="425"/>
        <w:rPr>
          <w:rFonts w:eastAsia="標楷體"/>
          <w:kern w:val="0"/>
        </w:rPr>
      </w:pPr>
      <w:r w:rsidRPr="00AE01E1">
        <w:rPr>
          <w:rFonts w:eastAsia="標楷體"/>
        </w:rPr>
        <w:t>(</w:t>
      </w:r>
      <w:r w:rsidRPr="00AE01E1">
        <w:rPr>
          <w:rFonts w:eastAsia="標楷體"/>
        </w:rPr>
        <w:t>註</w:t>
      </w:r>
      <w:r w:rsidRPr="00AE01E1">
        <w:rPr>
          <w:rFonts w:eastAsia="標楷體"/>
        </w:rPr>
        <w:t>)</w:t>
      </w:r>
      <w:r>
        <w:rPr>
          <w:rFonts w:eastAsia="標楷體" w:hint="eastAsia"/>
        </w:rPr>
        <w:t>上表數字</w:t>
      </w:r>
      <w:r>
        <w:rPr>
          <w:rFonts w:eastAsia="標楷體" w:hint="eastAsia"/>
        </w:rPr>
        <w:t>100</w:t>
      </w:r>
      <w:r>
        <w:rPr>
          <w:rFonts w:eastAsia="標楷體" w:hint="eastAsia"/>
        </w:rPr>
        <w:t>年至</w:t>
      </w:r>
      <w:r>
        <w:rPr>
          <w:rFonts w:eastAsia="標楷體" w:hint="eastAsia"/>
        </w:rPr>
        <w:t>102</w:t>
      </w:r>
      <w:r>
        <w:rPr>
          <w:rFonts w:eastAsia="標楷體" w:hint="eastAsia"/>
        </w:rPr>
        <w:t>年係以</w:t>
      </w:r>
      <w:r w:rsidRPr="00AE01E1">
        <w:rPr>
          <w:rFonts w:eastAsia="標楷體"/>
          <w:kern w:val="0"/>
        </w:rPr>
        <w:t>我國財務會計準則</w:t>
      </w:r>
      <w:r>
        <w:rPr>
          <w:rFonts w:eastAsia="標楷體" w:hint="eastAsia"/>
        </w:rPr>
        <w:t>編製</w:t>
      </w:r>
      <w:r w:rsidR="003D105E">
        <w:rPr>
          <w:rFonts w:eastAsia="標楷體" w:hint="eastAsia"/>
        </w:rPr>
        <w:t>個體報表</w:t>
      </w:r>
      <w:r>
        <w:rPr>
          <w:rFonts w:eastAsia="標楷體" w:hint="eastAsia"/>
        </w:rPr>
        <w:t>，</w:t>
      </w:r>
      <w:r>
        <w:rPr>
          <w:rFonts w:eastAsia="標楷體" w:hint="eastAsia"/>
        </w:rPr>
        <w:t>1</w:t>
      </w:r>
      <w:r w:rsidRPr="00AE01E1">
        <w:rPr>
          <w:rFonts w:eastAsia="標楷體"/>
          <w:kern w:val="0"/>
        </w:rPr>
        <w:t>0</w:t>
      </w:r>
      <w:r>
        <w:rPr>
          <w:rFonts w:eastAsia="標楷體" w:hint="eastAsia"/>
        </w:rPr>
        <w:t>3</w:t>
      </w:r>
      <w:r w:rsidRPr="00AE01E1">
        <w:rPr>
          <w:rFonts w:eastAsia="標楷體"/>
          <w:kern w:val="0"/>
        </w:rPr>
        <w:t>年</w:t>
      </w:r>
      <w:r>
        <w:rPr>
          <w:rFonts w:eastAsia="標楷體" w:hint="eastAsia"/>
        </w:rPr>
        <w:t>至</w:t>
      </w:r>
      <w:r>
        <w:rPr>
          <w:rFonts w:eastAsia="標楷體" w:hint="eastAsia"/>
        </w:rPr>
        <w:t>10</w:t>
      </w:r>
      <w:r w:rsidR="00A02E27">
        <w:rPr>
          <w:rFonts w:eastAsia="標楷體" w:hint="eastAsia"/>
        </w:rPr>
        <w:t>4</w:t>
      </w:r>
      <w:r>
        <w:rPr>
          <w:rFonts w:eastAsia="標楷體" w:hint="eastAsia"/>
        </w:rPr>
        <w:t>年則為</w:t>
      </w:r>
      <w:r w:rsidRPr="00AE01E1">
        <w:rPr>
          <w:rFonts w:eastAsia="標楷體"/>
          <w:kern w:val="0"/>
        </w:rPr>
        <w:t>採用國際財務報告準則</w:t>
      </w:r>
      <w:r>
        <w:rPr>
          <w:rFonts w:eastAsia="標楷體" w:hint="eastAsia"/>
        </w:rPr>
        <w:t>編製</w:t>
      </w:r>
      <w:r w:rsidR="003D105E">
        <w:rPr>
          <w:rFonts w:eastAsia="標楷體" w:hint="eastAsia"/>
        </w:rPr>
        <w:t>合併報表</w:t>
      </w:r>
      <w:r w:rsidRPr="00AE01E1">
        <w:rPr>
          <w:rFonts w:eastAsia="標楷體"/>
          <w:kern w:val="0"/>
        </w:rPr>
        <w:t>。</w:t>
      </w:r>
    </w:p>
    <w:p w:rsidR="00161123" w:rsidRPr="003F6C96" w:rsidRDefault="00161123">
      <w:pPr>
        <w:rPr>
          <w:rFonts w:ascii="新細明體" w:hAnsi="新細明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161123">
        <w:trPr>
          <w:cantSplit/>
          <w:trHeight w:val="707"/>
        </w:trPr>
        <w:tc>
          <w:tcPr>
            <w:tcW w:w="9748" w:type="dxa"/>
            <w:gridSpan w:val="5"/>
            <w:tcBorders>
              <w:bottom w:val="single" w:sz="6" w:space="0" w:color="auto"/>
            </w:tcBorders>
          </w:tcPr>
          <w:p w:rsidR="00161123" w:rsidRDefault="001F4C92">
            <w:pPr>
              <w:jc w:val="center"/>
              <w:rPr>
                <w:rFonts w:ascii="標楷體" w:eastAsia="標楷體" w:hAnsi="新細明體"/>
                <w:b/>
                <w:bCs/>
                <w:sz w:val="28"/>
              </w:rPr>
            </w:pPr>
            <w:bookmarkStart w:id="6" w:name="最近三年度財務比率及股利發放情形"/>
            <w:bookmarkEnd w:id="6"/>
            <w:r>
              <w:rPr>
                <w:rFonts w:ascii="標楷體" w:eastAsia="標楷體" w:hAnsi="新細明體"/>
                <w:b/>
                <w:bCs/>
                <w:noProof/>
                <w:sz w:val="28"/>
              </w:rPr>
              <w:pict>
                <v:shape id="_x0000_s1122" type="#_x0000_t202" style="position:absolute;left:0;text-align:left;margin-left:0;margin-top:-.05pt;width:486pt;height:35.45pt;z-index:-3" fillcolor="#ededed" stroked="f">
                  <v:fill rotate="t" focus="50%" type="gradient"/>
                  <v:textbox style="mso-next-textbox:#_x0000_s1122">
                    <w:txbxContent>
                      <w:p w:rsidR="00161123" w:rsidRDefault="00161123"/>
                    </w:txbxContent>
                  </v:textbox>
                </v:shape>
              </w:pict>
            </w:r>
            <w:r w:rsidR="00161123">
              <w:rPr>
                <w:rFonts w:ascii="標楷體" w:eastAsia="標楷體" w:hAnsi="新細明體" w:hint="eastAsia"/>
                <w:b/>
                <w:bCs/>
                <w:sz w:val="28"/>
              </w:rPr>
              <w:t>最近三年度財務比率</w:t>
            </w:r>
          </w:p>
        </w:tc>
      </w:tr>
      <w:tr w:rsidR="0019438A">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Default="0019438A">
            <w:pPr>
              <w:wordWrap w:val="0"/>
              <w:ind w:left="57" w:right="57"/>
              <w:jc w:val="right"/>
              <w:rPr>
                <w:rFonts w:eastAsia="標楷體"/>
              </w:rPr>
            </w:pPr>
            <w:r>
              <w:rPr>
                <w:rFonts w:eastAsia="標楷體" w:hAnsi="標楷體"/>
              </w:rPr>
              <w:t>年</w:t>
            </w:r>
            <w:r>
              <w:rPr>
                <w:rFonts w:eastAsia="標楷體" w:hAnsi="標楷體" w:hint="eastAsia"/>
              </w:rPr>
              <w:t xml:space="preserve">  </w:t>
            </w:r>
            <w:r>
              <w:rPr>
                <w:rFonts w:eastAsia="標楷體" w:hAnsi="標楷體"/>
              </w:rPr>
              <w:t>度</w:t>
            </w:r>
          </w:p>
          <w:p w:rsidR="0019438A" w:rsidRDefault="0019438A">
            <w:pPr>
              <w:ind w:firstLineChars="100" w:firstLine="240"/>
              <w:rPr>
                <w:rFonts w:eastAsia="標楷體"/>
              </w:rPr>
            </w:pPr>
            <w:r>
              <w:rPr>
                <w:rFonts w:eastAsia="標楷體" w:hAnsi="標楷體"/>
              </w:rPr>
              <w:t>項</w:t>
            </w:r>
            <w:r>
              <w:rPr>
                <w:rFonts w:eastAsia="標楷體" w:hAnsi="標楷體" w:hint="eastAsia"/>
              </w:rPr>
              <w:t xml:space="preserve">  </w:t>
            </w:r>
            <w:r>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Default="00AE01E1" w:rsidP="00161123">
            <w:pPr>
              <w:jc w:val="center"/>
              <w:rPr>
                <w:rFonts w:eastAsia="標楷體"/>
              </w:rPr>
            </w:pPr>
            <w:r>
              <w:rPr>
                <w:rFonts w:eastAsia="標楷體" w:hAnsi="標楷體" w:hint="eastAsia"/>
              </w:rPr>
              <w:t>102</w:t>
            </w:r>
            <w:r w:rsidR="0019438A">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Default="00AE01E1" w:rsidP="00161123">
            <w:pPr>
              <w:jc w:val="center"/>
              <w:rPr>
                <w:rFonts w:eastAsia="標楷體"/>
              </w:rPr>
            </w:pPr>
            <w:r>
              <w:rPr>
                <w:rFonts w:eastAsia="標楷體" w:hint="eastAsia"/>
              </w:rPr>
              <w:t>103</w:t>
            </w:r>
            <w:r w:rsidR="0019438A">
              <w:rPr>
                <w:rFonts w:eastAsia="標楷體" w:hint="eastAsia"/>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Default="00AE01E1" w:rsidP="00161123">
            <w:pPr>
              <w:jc w:val="center"/>
              <w:rPr>
                <w:rFonts w:eastAsia="標楷體"/>
              </w:rPr>
            </w:pPr>
            <w:r>
              <w:rPr>
                <w:rFonts w:eastAsia="標楷體" w:hint="eastAsia"/>
              </w:rPr>
              <w:t>104</w:t>
            </w:r>
            <w:r w:rsidR="0019438A">
              <w:rPr>
                <w:rFonts w:eastAsia="標楷體" w:hint="eastAsia"/>
              </w:rPr>
              <w:t>年</w:t>
            </w:r>
          </w:p>
        </w:tc>
      </w:tr>
      <w:tr w:rsidR="00192E60">
        <w:trPr>
          <w:cantSplit/>
        </w:trPr>
        <w:tc>
          <w:tcPr>
            <w:tcW w:w="568" w:type="dxa"/>
            <w:vMerge w:val="restart"/>
            <w:shd w:val="clear" w:color="auto" w:fill="F9F9F9"/>
          </w:tcPr>
          <w:p w:rsidR="00192E60" w:rsidRDefault="00192E60" w:rsidP="003A1E34">
            <w:pPr>
              <w:spacing w:beforeLines="50"/>
              <w:jc w:val="center"/>
              <w:rPr>
                <w:rFonts w:ascii="新細明體" w:hAnsi="新細明體"/>
                <w:b/>
                <w:sz w:val="20"/>
              </w:rPr>
            </w:pPr>
            <w:bookmarkStart w:id="7" w:name="財務比率"/>
            <w:bookmarkEnd w:id="7"/>
            <w:r>
              <w:rPr>
                <w:rFonts w:ascii="新細明體" w:hAnsi="新細明體"/>
                <w:b/>
                <w:sz w:val="20"/>
              </w:rPr>
              <w:t>財</w:t>
            </w:r>
          </w:p>
          <w:p w:rsidR="00192E60" w:rsidRDefault="00192E60">
            <w:pPr>
              <w:jc w:val="center"/>
              <w:rPr>
                <w:rFonts w:ascii="新細明體" w:hAnsi="新細明體"/>
                <w:b/>
                <w:sz w:val="20"/>
              </w:rPr>
            </w:pPr>
            <w:r>
              <w:rPr>
                <w:rFonts w:ascii="新細明體" w:hAnsi="新細明體"/>
                <w:b/>
                <w:sz w:val="20"/>
              </w:rPr>
              <w:t>務</w:t>
            </w:r>
          </w:p>
          <w:p w:rsidR="00192E60" w:rsidRDefault="00192E60">
            <w:pPr>
              <w:jc w:val="center"/>
              <w:rPr>
                <w:rFonts w:ascii="新細明體" w:hAnsi="新細明體"/>
                <w:b/>
                <w:sz w:val="20"/>
              </w:rPr>
            </w:pPr>
            <w:r>
              <w:rPr>
                <w:rFonts w:ascii="新細明體" w:hAnsi="新細明體"/>
                <w:b/>
                <w:sz w:val="20"/>
              </w:rPr>
              <w:t>比</w:t>
            </w:r>
          </w:p>
          <w:p w:rsidR="00192E60" w:rsidRDefault="00192E60">
            <w:pPr>
              <w:jc w:val="center"/>
              <w:rPr>
                <w:rFonts w:ascii="新細明體" w:hAnsi="新細明體"/>
                <w:sz w:val="20"/>
              </w:rPr>
            </w:pPr>
            <w:r>
              <w:rPr>
                <w:rFonts w:ascii="新細明體" w:hAnsi="新細明體"/>
                <w:b/>
                <w:sz w:val="20"/>
              </w:rPr>
              <w:t>率</w:t>
            </w:r>
          </w:p>
        </w:tc>
        <w:tc>
          <w:tcPr>
            <w:tcW w:w="2566" w:type="dxa"/>
            <w:shd w:val="clear" w:color="auto" w:fill="F9F9F9"/>
          </w:tcPr>
          <w:p w:rsidR="00192E60" w:rsidRDefault="00192E60">
            <w:pPr>
              <w:jc w:val="both"/>
              <w:rPr>
                <w:rFonts w:ascii="新細明體" w:hAnsi="新細明體"/>
                <w:sz w:val="20"/>
              </w:rPr>
            </w:pPr>
            <w:r>
              <w:rPr>
                <w:rFonts w:ascii="新細明體" w:hAnsi="新細明體"/>
                <w:sz w:val="20"/>
              </w:rPr>
              <w:t>毛利率(%)</w:t>
            </w:r>
          </w:p>
        </w:tc>
        <w:tc>
          <w:tcPr>
            <w:tcW w:w="2294" w:type="dxa"/>
          </w:tcPr>
          <w:p w:rsidR="00192E60" w:rsidRPr="00192E60" w:rsidRDefault="00192E60">
            <w:pPr>
              <w:jc w:val="center"/>
              <w:rPr>
                <w:sz w:val="20"/>
              </w:rPr>
            </w:pPr>
            <w:r w:rsidRPr="00192E60">
              <w:rPr>
                <w:sz w:val="20"/>
              </w:rPr>
              <w:t>52%</w:t>
            </w:r>
          </w:p>
        </w:tc>
        <w:tc>
          <w:tcPr>
            <w:tcW w:w="2160" w:type="dxa"/>
          </w:tcPr>
          <w:p w:rsidR="00192E60" w:rsidRPr="00192E60" w:rsidRDefault="00192E60">
            <w:pPr>
              <w:jc w:val="center"/>
              <w:rPr>
                <w:sz w:val="20"/>
              </w:rPr>
            </w:pPr>
            <w:r w:rsidRPr="00192E60">
              <w:rPr>
                <w:sz w:val="20"/>
              </w:rPr>
              <w:t>71%</w:t>
            </w:r>
          </w:p>
        </w:tc>
        <w:tc>
          <w:tcPr>
            <w:tcW w:w="2160" w:type="dxa"/>
          </w:tcPr>
          <w:p w:rsidR="00192E60" w:rsidRPr="00192E60" w:rsidRDefault="00192E60">
            <w:pPr>
              <w:jc w:val="center"/>
              <w:rPr>
                <w:sz w:val="20"/>
              </w:rPr>
            </w:pPr>
            <w:r w:rsidRPr="00192E60">
              <w:rPr>
                <w:sz w:val="20"/>
              </w:rPr>
              <w:t>69%</w:t>
            </w:r>
          </w:p>
        </w:tc>
      </w:tr>
      <w:tr w:rsidR="00192E60">
        <w:trPr>
          <w:cantSplit/>
        </w:trPr>
        <w:tc>
          <w:tcPr>
            <w:tcW w:w="568" w:type="dxa"/>
            <w:vMerge/>
          </w:tcPr>
          <w:p w:rsidR="00192E60" w:rsidRDefault="00192E60">
            <w:pPr>
              <w:jc w:val="both"/>
              <w:rPr>
                <w:rFonts w:ascii="新細明體" w:hAnsi="新細明體"/>
                <w:sz w:val="20"/>
              </w:rPr>
            </w:pPr>
          </w:p>
        </w:tc>
        <w:tc>
          <w:tcPr>
            <w:tcW w:w="2566" w:type="dxa"/>
            <w:shd w:val="clear" w:color="auto" w:fill="F9F9F9"/>
          </w:tcPr>
          <w:p w:rsidR="00192E60" w:rsidRDefault="00192E60">
            <w:pPr>
              <w:jc w:val="both"/>
              <w:rPr>
                <w:rFonts w:ascii="新細明體" w:hAnsi="新細明體"/>
                <w:sz w:val="20"/>
              </w:rPr>
            </w:pPr>
            <w:r>
              <w:rPr>
                <w:rFonts w:ascii="新細明體" w:hAnsi="新細明體"/>
                <w:sz w:val="20"/>
              </w:rPr>
              <w:t>流動比率(%)</w:t>
            </w:r>
          </w:p>
        </w:tc>
        <w:tc>
          <w:tcPr>
            <w:tcW w:w="2294" w:type="dxa"/>
          </w:tcPr>
          <w:p w:rsidR="00192E60" w:rsidRPr="00192E60" w:rsidRDefault="00192E60">
            <w:pPr>
              <w:jc w:val="center"/>
              <w:rPr>
                <w:sz w:val="20"/>
              </w:rPr>
            </w:pPr>
            <w:r w:rsidRPr="00192E60">
              <w:rPr>
                <w:sz w:val="20"/>
              </w:rPr>
              <w:t>99.77%</w:t>
            </w:r>
          </w:p>
        </w:tc>
        <w:tc>
          <w:tcPr>
            <w:tcW w:w="2160" w:type="dxa"/>
          </w:tcPr>
          <w:p w:rsidR="00192E60" w:rsidRPr="00192E60" w:rsidRDefault="00192E60">
            <w:pPr>
              <w:jc w:val="center"/>
              <w:rPr>
                <w:sz w:val="20"/>
              </w:rPr>
            </w:pPr>
            <w:r w:rsidRPr="00192E60">
              <w:rPr>
                <w:sz w:val="20"/>
              </w:rPr>
              <w:t>171.48%</w:t>
            </w:r>
          </w:p>
        </w:tc>
        <w:tc>
          <w:tcPr>
            <w:tcW w:w="2160" w:type="dxa"/>
          </w:tcPr>
          <w:p w:rsidR="00192E60" w:rsidRPr="00192E60" w:rsidRDefault="00192E60">
            <w:pPr>
              <w:jc w:val="center"/>
              <w:rPr>
                <w:sz w:val="20"/>
              </w:rPr>
            </w:pPr>
            <w:r w:rsidRPr="00192E60">
              <w:rPr>
                <w:sz w:val="20"/>
              </w:rPr>
              <w:t>422.45%</w:t>
            </w:r>
          </w:p>
        </w:tc>
      </w:tr>
      <w:tr w:rsidR="00192E60">
        <w:trPr>
          <w:cantSplit/>
        </w:trPr>
        <w:tc>
          <w:tcPr>
            <w:tcW w:w="568" w:type="dxa"/>
            <w:vMerge/>
          </w:tcPr>
          <w:p w:rsidR="00192E60" w:rsidRDefault="00192E60">
            <w:pPr>
              <w:jc w:val="both"/>
              <w:rPr>
                <w:rFonts w:ascii="新細明體" w:hAnsi="新細明體"/>
                <w:sz w:val="20"/>
              </w:rPr>
            </w:pPr>
          </w:p>
        </w:tc>
        <w:tc>
          <w:tcPr>
            <w:tcW w:w="2566" w:type="dxa"/>
            <w:shd w:val="clear" w:color="auto" w:fill="F9F9F9"/>
          </w:tcPr>
          <w:p w:rsidR="00192E60" w:rsidRDefault="00192E60">
            <w:pPr>
              <w:jc w:val="both"/>
              <w:rPr>
                <w:rFonts w:ascii="新細明體" w:hAnsi="新細明體"/>
                <w:sz w:val="20"/>
              </w:rPr>
            </w:pPr>
            <w:r>
              <w:rPr>
                <w:rFonts w:ascii="新細明體" w:hAnsi="新細明體"/>
                <w:sz w:val="20"/>
              </w:rPr>
              <w:t>應收帳款</w:t>
            </w:r>
            <w:r>
              <w:rPr>
                <w:rFonts w:ascii="新細明體" w:hAnsi="新細明體" w:hint="eastAsia"/>
                <w:sz w:val="20"/>
              </w:rPr>
              <w:t>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tcPr>
          <w:p w:rsidR="00192E60" w:rsidRPr="00192E60" w:rsidRDefault="00192E60">
            <w:pPr>
              <w:jc w:val="center"/>
              <w:rPr>
                <w:sz w:val="20"/>
              </w:rPr>
            </w:pPr>
            <w:r w:rsidRPr="00192E60">
              <w:rPr>
                <w:sz w:val="20"/>
              </w:rPr>
              <w:t>12.66</w:t>
            </w:r>
          </w:p>
        </w:tc>
        <w:tc>
          <w:tcPr>
            <w:tcW w:w="2160" w:type="dxa"/>
          </w:tcPr>
          <w:p w:rsidR="00192E60" w:rsidRPr="00192E60" w:rsidRDefault="00192E60">
            <w:pPr>
              <w:jc w:val="center"/>
              <w:rPr>
                <w:sz w:val="20"/>
              </w:rPr>
            </w:pPr>
            <w:r w:rsidRPr="00192E60">
              <w:rPr>
                <w:sz w:val="20"/>
              </w:rPr>
              <w:t>14.48</w:t>
            </w:r>
          </w:p>
        </w:tc>
        <w:tc>
          <w:tcPr>
            <w:tcW w:w="2160" w:type="dxa"/>
          </w:tcPr>
          <w:p w:rsidR="00192E60" w:rsidRPr="00192E60" w:rsidRDefault="00192E60">
            <w:pPr>
              <w:jc w:val="center"/>
              <w:rPr>
                <w:sz w:val="20"/>
              </w:rPr>
            </w:pPr>
            <w:r w:rsidRPr="00192E60">
              <w:rPr>
                <w:sz w:val="20"/>
              </w:rPr>
              <w:t>30.24</w:t>
            </w:r>
          </w:p>
        </w:tc>
      </w:tr>
      <w:tr w:rsidR="00192E60">
        <w:trPr>
          <w:cantSplit/>
        </w:trPr>
        <w:tc>
          <w:tcPr>
            <w:tcW w:w="568" w:type="dxa"/>
            <w:vMerge/>
          </w:tcPr>
          <w:p w:rsidR="00192E60" w:rsidRDefault="00192E60">
            <w:pPr>
              <w:jc w:val="both"/>
              <w:rPr>
                <w:rFonts w:ascii="新細明體" w:hAnsi="新細明體"/>
                <w:sz w:val="20"/>
              </w:rPr>
            </w:pPr>
          </w:p>
        </w:tc>
        <w:tc>
          <w:tcPr>
            <w:tcW w:w="2566" w:type="dxa"/>
            <w:shd w:val="clear" w:color="auto" w:fill="F9F9F9"/>
          </w:tcPr>
          <w:p w:rsidR="00192E60" w:rsidRDefault="00192E60">
            <w:pPr>
              <w:jc w:val="both"/>
              <w:rPr>
                <w:rFonts w:ascii="新細明體" w:hAnsi="新細明體"/>
                <w:sz w:val="20"/>
              </w:rPr>
            </w:pPr>
            <w:r>
              <w:rPr>
                <w:rFonts w:ascii="新細明體" w:hAnsi="新細明體"/>
                <w:sz w:val="20"/>
              </w:rPr>
              <w:t>存貨週轉</w:t>
            </w:r>
            <w:r>
              <w:rPr>
                <w:rFonts w:ascii="新細明體" w:hAnsi="新細明體" w:hint="eastAsia"/>
                <w:sz w:val="20"/>
              </w:rPr>
              <w:t>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tcPr>
          <w:p w:rsidR="00192E60" w:rsidRPr="00192E60" w:rsidRDefault="00192E60">
            <w:pPr>
              <w:jc w:val="center"/>
              <w:rPr>
                <w:sz w:val="20"/>
              </w:rPr>
            </w:pPr>
            <w:r w:rsidRPr="00192E60">
              <w:rPr>
                <w:sz w:val="20"/>
              </w:rPr>
              <w:t>168</w:t>
            </w:r>
          </w:p>
        </w:tc>
        <w:tc>
          <w:tcPr>
            <w:tcW w:w="2160" w:type="dxa"/>
          </w:tcPr>
          <w:p w:rsidR="00192E60" w:rsidRPr="00192E60" w:rsidRDefault="00192E60">
            <w:pPr>
              <w:jc w:val="center"/>
              <w:rPr>
                <w:sz w:val="20"/>
              </w:rPr>
            </w:pPr>
            <w:r w:rsidRPr="00192E60">
              <w:rPr>
                <w:sz w:val="20"/>
              </w:rPr>
              <w:t>99</w:t>
            </w:r>
          </w:p>
        </w:tc>
        <w:tc>
          <w:tcPr>
            <w:tcW w:w="2160" w:type="dxa"/>
          </w:tcPr>
          <w:p w:rsidR="00192E60" w:rsidRPr="00192E60" w:rsidRDefault="00192E60">
            <w:pPr>
              <w:jc w:val="center"/>
              <w:rPr>
                <w:sz w:val="20"/>
              </w:rPr>
            </w:pPr>
            <w:r w:rsidRPr="00192E60">
              <w:rPr>
                <w:sz w:val="20"/>
              </w:rPr>
              <w:t>133</w:t>
            </w:r>
          </w:p>
        </w:tc>
      </w:tr>
      <w:tr w:rsidR="00192E60">
        <w:trPr>
          <w:cantSplit/>
        </w:trPr>
        <w:tc>
          <w:tcPr>
            <w:tcW w:w="568" w:type="dxa"/>
            <w:vMerge/>
          </w:tcPr>
          <w:p w:rsidR="00192E60" w:rsidRDefault="00192E60">
            <w:pPr>
              <w:jc w:val="both"/>
              <w:rPr>
                <w:rFonts w:ascii="新細明體" w:hAnsi="新細明體"/>
                <w:sz w:val="20"/>
              </w:rPr>
            </w:pPr>
          </w:p>
        </w:tc>
        <w:tc>
          <w:tcPr>
            <w:tcW w:w="2566" w:type="dxa"/>
            <w:shd w:val="clear" w:color="auto" w:fill="F9F9F9"/>
          </w:tcPr>
          <w:p w:rsidR="00192E60" w:rsidRDefault="00192E60">
            <w:pPr>
              <w:jc w:val="both"/>
              <w:rPr>
                <w:rFonts w:ascii="新細明體" w:hAnsi="新細明體"/>
                <w:sz w:val="20"/>
              </w:rPr>
            </w:pPr>
            <w:r>
              <w:rPr>
                <w:rFonts w:ascii="新細明體" w:hAnsi="新細明體"/>
                <w:sz w:val="20"/>
              </w:rPr>
              <w:t>負債比率(%)</w:t>
            </w:r>
          </w:p>
        </w:tc>
        <w:tc>
          <w:tcPr>
            <w:tcW w:w="2294" w:type="dxa"/>
          </w:tcPr>
          <w:p w:rsidR="00192E60" w:rsidRPr="00192E60" w:rsidRDefault="00192E60">
            <w:pPr>
              <w:jc w:val="center"/>
              <w:rPr>
                <w:sz w:val="20"/>
              </w:rPr>
            </w:pPr>
            <w:r w:rsidRPr="00192E60">
              <w:rPr>
                <w:sz w:val="20"/>
              </w:rPr>
              <w:t>94.68</w:t>
            </w:r>
          </w:p>
        </w:tc>
        <w:tc>
          <w:tcPr>
            <w:tcW w:w="2160" w:type="dxa"/>
          </w:tcPr>
          <w:p w:rsidR="00192E60" w:rsidRPr="00192E60" w:rsidRDefault="00192E60">
            <w:pPr>
              <w:jc w:val="center"/>
              <w:rPr>
                <w:sz w:val="20"/>
              </w:rPr>
            </w:pPr>
            <w:r w:rsidRPr="00192E60">
              <w:rPr>
                <w:sz w:val="20"/>
              </w:rPr>
              <w:t>119.28</w:t>
            </w:r>
          </w:p>
        </w:tc>
        <w:tc>
          <w:tcPr>
            <w:tcW w:w="2160" w:type="dxa"/>
          </w:tcPr>
          <w:p w:rsidR="00192E60" w:rsidRPr="00192E60" w:rsidRDefault="00192E60">
            <w:pPr>
              <w:jc w:val="center"/>
              <w:rPr>
                <w:sz w:val="20"/>
              </w:rPr>
            </w:pPr>
            <w:r w:rsidRPr="00192E60">
              <w:rPr>
                <w:sz w:val="20"/>
              </w:rPr>
              <w:t>76.38</w:t>
            </w:r>
          </w:p>
        </w:tc>
      </w:tr>
    </w:tbl>
    <w:p w:rsidR="00161123" w:rsidRPr="003F6C96" w:rsidRDefault="003F6C96" w:rsidP="003F6C96">
      <w:pPr>
        <w:ind w:left="425" w:hangingChars="177" w:hanging="425"/>
        <w:rPr>
          <w:rFonts w:ascii="新細明體" w:hAnsi="新細明體"/>
        </w:rPr>
      </w:pPr>
      <w:r w:rsidRPr="00AE01E1">
        <w:rPr>
          <w:rFonts w:eastAsia="標楷體"/>
        </w:rPr>
        <w:t>(</w:t>
      </w:r>
      <w:r w:rsidRPr="00AE01E1">
        <w:rPr>
          <w:rFonts w:eastAsia="標楷體"/>
        </w:rPr>
        <w:t>註</w:t>
      </w:r>
      <w:r w:rsidRPr="00AE01E1">
        <w:rPr>
          <w:rFonts w:eastAsia="標楷體"/>
        </w:rPr>
        <w:t>)</w:t>
      </w:r>
      <w:r>
        <w:rPr>
          <w:rFonts w:eastAsia="標楷體" w:hint="eastAsia"/>
        </w:rPr>
        <w:t>上表數字</w:t>
      </w:r>
      <w:r>
        <w:rPr>
          <w:rFonts w:eastAsia="標楷體" w:hint="eastAsia"/>
        </w:rPr>
        <w:t>102</w:t>
      </w:r>
      <w:r>
        <w:rPr>
          <w:rFonts w:eastAsia="標楷體" w:hint="eastAsia"/>
        </w:rPr>
        <w:t>年係以</w:t>
      </w:r>
      <w:r w:rsidRPr="00AE01E1">
        <w:rPr>
          <w:rFonts w:eastAsia="標楷體"/>
          <w:kern w:val="0"/>
        </w:rPr>
        <w:t>我國財務會計準則</w:t>
      </w:r>
      <w:r>
        <w:rPr>
          <w:rFonts w:eastAsia="標楷體" w:hint="eastAsia"/>
        </w:rPr>
        <w:t>編製</w:t>
      </w:r>
      <w:r w:rsidR="003D105E">
        <w:rPr>
          <w:rFonts w:eastAsia="標楷體" w:hint="eastAsia"/>
        </w:rPr>
        <w:t>個體報表</w:t>
      </w:r>
      <w:r>
        <w:rPr>
          <w:rFonts w:eastAsia="標楷體" w:hint="eastAsia"/>
        </w:rPr>
        <w:t>，</w:t>
      </w:r>
      <w:r>
        <w:rPr>
          <w:rFonts w:eastAsia="標楷體" w:hint="eastAsia"/>
        </w:rPr>
        <w:t>1</w:t>
      </w:r>
      <w:r w:rsidRPr="00AE01E1">
        <w:rPr>
          <w:rFonts w:eastAsia="標楷體"/>
          <w:kern w:val="0"/>
        </w:rPr>
        <w:t>0</w:t>
      </w:r>
      <w:r>
        <w:rPr>
          <w:rFonts w:eastAsia="標楷體" w:hint="eastAsia"/>
        </w:rPr>
        <w:t>3</w:t>
      </w:r>
      <w:r w:rsidRPr="00AE01E1">
        <w:rPr>
          <w:rFonts w:eastAsia="標楷體"/>
          <w:kern w:val="0"/>
        </w:rPr>
        <w:t>年</w:t>
      </w:r>
      <w:r>
        <w:rPr>
          <w:rFonts w:eastAsia="標楷體" w:hint="eastAsia"/>
        </w:rPr>
        <w:t>至</w:t>
      </w:r>
      <w:r>
        <w:rPr>
          <w:rFonts w:eastAsia="標楷體" w:hint="eastAsia"/>
        </w:rPr>
        <w:t>104</w:t>
      </w:r>
      <w:r>
        <w:rPr>
          <w:rFonts w:eastAsia="標楷體" w:hint="eastAsia"/>
        </w:rPr>
        <w:t>年則為</w:t>
      </w:r>
      <w:r w:rsidRPr="00AE01E1">
        <w:rPr>
          <w:rFonts w:eastAsia="標楷體"/>
          <w:kern w:val="0"/>
        </w:rPr>
        <w:t>採用國際財務報告準則</w:t>
      </w:r>
      <w:r>
        <w:rPr>
          <w:rFonts w:eastAsia="標楷體" w:hint="eastAsia"/>
        </w:rPr>
        <w:t>編製</w:t>
      </w:r>
      <w:r w:rsidR="003D105E">
        <w:rPr>
          <w:rFonts w:eastAsia="標楷體" w:hint="eastAsia"/>
        </w:rPr>
        <w:t>合併報表</w:t>
      </w:r>
      <w:r w:rsidRPr="00AE01E1">
        <w:rPr>
          <w:rFonts w:eastAsia="標楷體"/>
          <w:kern w:val="0"/>
        </w:rPr>
        <w:t>。</w:t>
      </w:r>
    </w:p>
    <w:p w:rsidR="00161123" w:rsidRDefault="00161123">
      <w:pPr>
        <w:rPr>
          <w:color w:val="FE8531"/>
          <w:sz w:val="20"/>
          <w:szCs w:val="20"/>
        </w:rPr>
      </w:pPr>
      <w:r>
        <w:rPr>
          <w:color w:val="FF6600"/>
          <w:sz w:val="20"/>
          <w:szCs w:val="20"/>
        </w:rPr>
        <w:t>投資人若欲查詢該公司更詳細之資料請連結至</w:t>
      </w:r>
      <w:hyperlink r:id="rId18" w:history="1">
        <w:r>
          <w:rPr>
            <w:rStyle w:val="a6"/>
            <w:rFonts w:ascii="新細明體" w:hAnsi="新細明體" w:hint="eastAsia"/>
            <w:b/>
            <w:color w:val="3366FF"/>
            <w:sz w:val="20"/>
            <w:szCs w:val="20"/>
          </w:rPr>
          <w:t>公開資訊觀測站</w:t>
        </w:r>
      </w:hyperlink>
      <w:r>
        <w:rPr>
          <w:color w:val="FF6600"/>
          <w:sz w:val="20"/>
          <w:szCs w:val="20"/>
        </w:rPr>
        <w:t>!!</w:t>
      </w:r>
    </w:p>
    <w:sectPr w:rsidR="00161123" w:rsidSect="001F4C92">
      <w:footerReference w:type="even" r:id="rId19"/>
      <w:footerReference w:type="default" r:id="rId20"/>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7AA" w:rsidRDefault="006747AA">
      <w:r>
        <w:separator/>
      </w:r>
    </w:p>
  </w:endnote>
  <w:endnote w:type="continuationSeparator" w:id="1">
    <w:p w:rsidR="006747AA" w:rsidRDefault="00674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23" w:rsidRDefault="001F4C92">
    <w:pPr>
      <w:pStyle w:val="a8"/>
      <w:framePr w:wrap="around" w:vAnchor="text" w:hAnchor="margin" w:xAlign="center" w:y="1"/>
      <w:rPr>
        <w:rStyle w:val="af"/>
      </w:rPr>
    </w:pPr>
    <w:r>
      <w:rPr>
        <w:rStyle w:val="af"/>
      </w:rPr>
      <w:fldChar w:fldCharType="begin"/>
    </w:r>
    <w:r w:rsidR="00161123">
      <w:rPr>
        <w:rStyle w:val="af"/>
      </w:rPr>
      <w:instrText xml:space="preserve">PAGE  </w:instrText>
    </w:r>
    <w:r>
      <w:rPr>
        <w:rStyle w:val="af"/>
      </w:rPr>
      <w:fldChar w:fldCharType="end"/>
    </w:r>
  </w:p>
  <w:p w:rsidR="00161123" w:rsidRDefault="001611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23" w:rsidRDefault="001F4C92">
    <w:pPr>
      <w:pStyle w:val="a8"/>
      <w:framePr w:wrap="around" w:vAnchor="text" w:hAnchor="margin" w:xAlign="center" w:y="1"/>
      <w:rPr>
        <w:rStyle w:val="af"/>
      </w:rPr>
    </w:pPr>
    <w:r>
      <w:rPr>
        <w:rStyle w:val="af"/>
      </w:rPr>
      <w:fldChar w:fldCharType="begin"/>
    </w:r>
    <w:r w:rsidR="00161123">
      <w:rPr>
        <w:rStyle w:val="af"/>
      </w:rPr>
      <w:instrText xml:space="preserve">PAGE  </w:instrText>
    </w:r>
    <w:r>
      <w:rPr>
        <w:rStyle w:val="af"/>
      </w:rPr>
      <w:fldChar w:fldCharType="separate"/>
    </w:r>
    <w:r w:rsidR="003A1E34">
      <w:rPr>
        <w:rStyle w:val="af"/>
        <w:noProof/>
      </w:rPr>
      <w:t>5</w:t>
    </w:r>
    <w:r>
      <w:rPr>
        <w:rStyle w:val="af"/>
      </w:rPr>
      <w:fldChar w:fldCharType="end"/>
    </w:r>
  </w:p>
  <w:p w:rsidR="00161123" w:rsidRDefault="001611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7AA" w:rsidRDefault="006747AA">
      <w:r>
        <w:separator/>
      </w:r>
    </w:p>
  </w:footnote>
  <w:footnote w:type="continuationSeparator" w:id="1">
    <w:p w:rsidR="006747AA" w:rsidRDefault="00674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 o:bullet="t">
        <v:imagedata r:id="rId1" o:title="icon_page_title"/>
      </v:shape>
    </w:pict>
  </w:numPicBullet>
  <w:abstractNum w:abstractNumId="0">
    <w:nsid w:val="273F62AA"/>
    <w:multiLevelType w:val="hybridMultilevel"/>
    <w:tmpl w:val="6D3E596E"/>
    <w:lvl w:ilvl="0" w:tplc="E6F26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32F47908"/>
    <w:multiLevelType w:val="hybridMultilevel"/>
    <w:tmpl w:val="D1FC4C9E"/>
    <w:lvl w:ilvl="0" w:tplc="DC843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6B0720"/>
    <w:multiLevelType w:val="hybridMultilevel"/>
    <w:tmpl w:val="1436BD76"/>
    <w:lvl w:ilvl="0" w:tplc="E6F26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4098">
      <o:colormru v:ext="edit" colors="#ededed,#fffb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8A"/>
    <w:rsid w:val="00037D5F"/>
    <w:rsid w:val="000A40A4"/>
    <w:rsid w:val="001120B0"/>
    <w:rsid w:val="00113605"/>
    <w:rsid w:val="00161123"/>
    <w:rsid w:val="0016200C"/>
    <w:rsid w:val="00192E60"/>
    <w:rsid w:val="0019438A"/>
    <w:rsid w:val="001F4C92"/>
    <w:rsid w:val="0020043D"/>
    <w:rsid w:val="00270437"/>
    <w:rsid w:val="002F73CE"/>
    <w:rsid w:val="0031183C"/>
    <w:rsid w:val="00346FDC"/>
    <w:rsid w:val="00385C47"/>
    <w:rsid w:val="003A1E34"/>
    <w:rsid w:val="003D105E"/>
    <w:rsid w:val="003F6C96"/>
    <w:rsid w:val="004008A9"/>
    <w:rsid w:val="00423207"/>
    <w:rsid w:val="00437D00"/>
    <w:rsid w:val="00450F2B"/>
    <w:rsid w:val="004C7511"/>
    <w:rsid w:val="005071DA"/>
    <w:rsid w:val="00553CD3"/>
    <w:rsid w:val="005601FB"/>
    <w:rsid w:val="00583E72"/>
    <w:rsid w:val="005A2D1C"/>
    <w:rsid w:val="00611233"/>
    <w:rsid w:val="006747AA"/>
    <w:rsid w:val="006B0756"/>
    <w:rsid w:val="00724899"/>
    <w:rsid w:val="007503C9"/>
    <w:rsid w:val="00752F8B"/>
    <w:rsid w:val="0076007F"/>
    <w:rsid w:val="007609BE"/>
    <w:rsid w:val="007D3F16"/>
    <w:rsid w:val="00802465"/>
    <w:rsid w:val="008510C2"/>
    <w:rsid w:val="008716FE"/>
    <w:rsid w:val="00880632"/>
    <w:rsid w:val="0097783D"/>
    <w:rsid w:val="009806D7"/>
    <w:rsid w:val="00A02E27"/>
    <w:rsid w:val="00A277D2"/>
    <w:rsid w:val="00A35CDD"/>
    <w:rsid w:val="00A37899"/>
    <w:rsid w:val="00AE01E1"/>
    <w:rsid w:val="00AE3169"/>
    <w:rsid w:val="00B159E1"/>
    <w:rsid w:val="00B365A4"/>
    <w:rsid w:val="00B40A0A"/>
    <w:rsid w:val="00BB79D6"/>
    <w:rsid w:val="00BF2B97"/>
    <w:rsid w:val="00C62170"/>
    <w:rsid w:val="00C96E93"/>
    <w:rsid w:val="00D00024"/>
    <w:rsid w:val="00D22FA1"/>
    <w:rsid w:val="00D364AD"/>
    <w:rsid w:val="00DA3592"/>
    <w:rsid w:val="00DA75FC"/>
    <w:rsid w:val="00DD16C1"/>
    <w:rsid w:val="00E4029F"/>
    <w:rsid w:val="00E74562"/>
    <w:rsid w:val="00EE4C00"/>
    <w:rsid w:val="00EF10AF"/>
    <w:rsid w:val="00F174DB"/>
    <w:rsid w:val="00F23D95"/>
    <w:rsid w:val="00F97EB6"/>
    <w:rsid w:val="00FD1CF9"/>
    <w:rsid w:val="00FF4E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92"/>
    <w:pPr>
      <w:widowControl w:val="0"/>
    </w:pPr>
    <w:rPr>
      <w:kern w:val="2"/>
      <w:sz w:val="24"/>
      <w:szCs w:val="24"/>
    </w:rPr>
  </w:style>
  <w:style w:type="paragraph" w:styleId="1">
    <w:name w:val="heading 1"/>
    <w:basedOn w:val="a"/>
    <w:next w:val="a"/>
    <w:qFormat/>
    <w:rsid w:val="001F4C92"/>
    <w:pPr>
      <w:keepNext/>
      <w:outlineLvl w:val="0"/>
    </w:pPr>
    <w:rPr>
      <w:sz w:val="28"/>
    </w:rPr>
  </w:style>
  <w:style w:type="paragraph" w:styleId="2">
    <w:name w:val="heading 2"/>
    <w:basedOn w:val="a"/>
    <w:next w:val="a"/>
    <w:qFormat/>
    <w:rsid w:val="001F4C92"/>
    <w:pPr>
      <w:keepNext/>
      <w:outlineLvl w:val="1"/>
    </w:pPr>
    <w:rPr>
      <w:b/>
      <w:bCs/>
      <w:bdr w:val="single" w:sz="4" w:space="0" w:color="auto"/>
    </w:rPr>
  </w:style>
  <w:style w:type="paragraph" w:styleId="3">
    <w:name w:val="heading 3"/>
    <w:basedOn w:val="a"/>
    <w:next w:val="a"/>
    <w:qFormat/>
    <w:rsid w:val="001F4C92"/>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1F4C92"/>
    <w:pPr>
      <w:snapToGrid w:val="0"/>
      <w:spacing w:line="200" w:lineRule="atLeast"/>
      <w:jc w:val="center"/>
    </w:pPr>
    <w:rPr>
      <w:rFonts w:eastAsia="標楷體"/>
      <w:szCs w:val="20"/>
    </w:rPr>
  </w:style>
  <w:style w:type="paragraph" w:styleId="a4">
    <w:name w:val="Body Text"/>
    <w:basedOn w:val="a"/>
    <w:semiHidden/>
    <w:rsid w:val="001F4C92"/>
    <w:pPr>
      <w:spacing w:line="240" w:lineRule="exact"/>
    </w:pPr>
    <w:rPr>
      <w:rFonts w:eastAsia="標楷體"/>
      <w:color w:val="FF0000"/>
      <w:sz w:val="16"/>
    </w:rPr>
  </w:style>
  <w:style w:type="paragraph" w:styleId="HTML">
    <w:name w:val="HTML Preformatted"/>
    <w:basedOn w:val="a"/>
    <w:semiHidden/>
    <w:rsid w:val="001F4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1F4C92"/>
    <w:rPr>
      <w:rFonts w:ascii="Arial Unicode MS" w:eastAsia="Arial Unicode MS" w:hAnsi="Arial Unicode MS" w:cs="Arial Unicode MS"/>
      <w:sz w:val="20"/>
      <w:szCs w:val="20"/>
    </w:rPr>
  </w:style>
  <w:style w:type="paragraph" w:customStyle="1" w:styleId="style7">
    <w:name w:val="style7"/>
    <w:basedOn w:val="a"/>
    <w:rsid w:val="001F4C92"/>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1F4C92"/>
    <w:rPr>
      <w:rFonts w:ascii="新細明體" w:eastAsia="新細明體" w:hAnsi="新細明體" w:hint="eastAsia"/>
    </w:rPr>
  </w:style>
  <w:style w:type="character" w:customStyle="1" w:styleId="style31">
    <w:name w:val="style31"/>
    <w:rsid w:val="001F4C92"/>
    <w:rPr>
      <w:b/>
      <w:bCs/>
      <w:color w:val="000099"/>
    </w:rPr>
  </w:style>
  <w:style w:type="character" w:customStyle="1" w:styleId="style71">
    <w:name w:val="style71"/>
    <w:rsid w:val="001F4C92"/>
    <w:rPr>
      <w:rFonts w:ascii="新細明體" w:eastAsia="新細明體" w:hAnsi="新細明體" w:hint="eastAsia"/>
      <w:b/>
      <w:bCs/>
      <w:color w:val="000099"/>
    </w:rPr>
  </w:style>
  <w:style w:type="character" w:styleId="a5">
    <w:name w:val="Strong"/>
    <w:qFormat/>
    <w:rsid w:val="001F4C92"/>
    <w:rPr>
      <w:b/>
      <w:bCs/>
    </w:rPr>
  </w:style>
  <w:style w:type="paragraph" w:styleId="Web">
    <w:name w:val="Normal (Web)"/>
    <w:basedOn w:val="a"/>
    <w:semiHidden/>
    <w:rsid w:val="001F4C92"/>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1F4C92"/>
    <w:rPr>
      <w:rFonts w:ascii="Tahoma" w:hAnsi="Tahoma" w:cs="Tahoma" w:hint="default"/>
      <w:b/>
      <w:bCs/>
      <w:color w:val="626262"/>
      <w:spacing w:val="220"/>
      <w:sz w:val="12"/>
      <w:szCs w:val="12"/>
    </w:rPr>
  </w:style>
  <w:style w:type="character" w:customStyle="1" w:styleId="orangeword12px1">
    <w:name w:val="orangeword_12px1"/>
    <w:rsid w:val="001F4C92"/>
    <w:rPr>
      <w:rFonts w:ascii="Tahoma" w:hAnsi="Tahoma" w:cs="Tahoma" w:hint="default"/>
      <w:strike w:val="0"/>
      <w:dstrike w:val="0"/>
      <w:color w:val="FF9900"/>
      <w:sz w:val="12"/>
      <w:szCs w:val="12"/>
      <w:u w:val="none"/>
      <w:effect w:val="none"/>
    </w:rPr>
  </w:style>
  <w:style w:type="character" w:styleId="a6">
    <w:name w:val="Hyperlink"/>
    <w:semiHidden/>
    <w:rsid w:val="001F4C92"/>
    <w:rPr>
      <w:color w:val="0000FF"/>
      <w:u w:val="single"/>
    </w:rPr>
  </w:style>
  <w:style w:type="paragraph" w:styleId="a7">
    <w:name w:val="header"/>
    <w:basedOn w:val="a"/>
    <w:semiHidden/>
    <w:rsid w:val="001F4C92"/>
    <w:pPr>
      <w:tabs>
        <w:tab w:val="center" w:pos="4153"/>
        <w:tab w:val="right" w:pos="8306"/>
      </w:tabs>
      <w:snapToGrid w:val="0"/>
    </w:pPr>
    <w:rPr>
      <w:sz w:val="20"/>
      <w:szCs w:val="20"/>
    </w:rPr>
  </w:style>
  <w:style w:type="paragraph" w:styleId="a8">
    <w:name w:val="footer"/>
    <w:basedOn w:val="a"/>
    <w:semiHidden/>
    <w:rsid w:val="001F4C92"/>
    <w:pPr>
      <w:tabs>
        <w:tab w:val="center" w:pos="4153"/>
        <w:tab w:val="right" w:pos="8306"/>
      </w:tabs>
      <w:snapToGrid w:val="0"/>
    </w:pPr>
    <w:rPr>
      <w:sz w:val="20"/>
      <w:szCs w:val="20"/>
    </w:rPr>
  </w:style>
  <w:style w:type="paragraph" w:styleId="a9">
    <w:name w:val="caption"/>
    <w:basedOn w:val="a"/>
    <w:next w:val="a"/>
    <w:qFormat/>
    <w:rsid w:val="001F4C92"/>
    <w:rPr>
      <w:sz w:val="20"/>
      <w:szCs w:val="20"/>
    </w:rPr>
  </w:style>
  <w:style w:type="character" w:styleId="aa">
    <w:name w:val="FollowedHyperlink"/>
    <w:semiHidden/>
    <w:rsid w:val="001F4C92"/>
    <w:rPr>
      <w:color w:val="800080"/>
      <w:u w:val="single"/>
    </w:rPr>
  </w:style>
  <w:style w:type="paragraph" w:styleId="ab">
    <w:name w:val="macro"/>
    <w:link w:val="ac"/>
    <w:rsid w:val="001F4C9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link w:val="ae"/>
    <w:rsid w:val="001F4C92"/>
    <w:pPr>
      <w:adjustRightInd w:val="0"/>
      <w:snapToGrid w:val="0"/>
      <w:spacing w:line="240" w:lineRule="atLeast"/>
      <w:jc w:val="right"/>
      <w:textAlignment w:val="baseline"/>
    </w:pPr>
    <w:rPr>
      <w:rFonts w:eastAsia="標楷體"/>
      <w:kern w:val="0"/>
      <w:szCs w:val="20"/>
      <w:lang/>
    </w:rPr>
  </w:style>
  <w:style w:type="character" w:styleId="af">
    <w:name w:val="page number"/>
    <w:basedOn w:val="a0"/>
    <w:semiHidden/>
    <w:rsid w:val="001F4C92"/>
  </w:style>
  <w:style w:type="table" w:styleId="af0">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270437"/>
    <w:rPr>
      <w:rFonts w:ascii="Cambria" w:hAnsi="Cambria"/>
      <w:sz w:val="18"/>
      <w:szCs w:val="18"/>
      <w:lang/>
    </w:rPr>
  </w:style>
  <w:style w:type="character" w:customStyle="1" w:styleId="af2">
    <w:name w:val="註解方塊文字 字元"/>
    <w:link w:val="af1"/>
    <w:uiPriority w:val="99"/>
    <w:semiHidden/>
    <w:rsid w:val="00270437"/>
    <w:rPr>
      <w:rFonts w:ascii="Cambria" w:eastAsia="新細明體" w:hAnsi="Cambria" w:cs="Times New Roman"/>
      <w:kern w:val="2"/>
      <w:sz w:val="18"/>
      <w:szCs w:val="18"/>
    </w:rPr>
  </w:style>
  <w:style w:type="character" w:customStyle="1" w:styleId="ac">
    <w:name w:val="巨集文字 字元"/>
    <w:link w:val="ab"/>
    <w:rsid w:val="00192E60"/>
    <w:rPr>
      <w:rFonts w:ascii="Courier New" w:hAnsi="Courier New"/>
      <w:kern w:val="2"/>
      <w:sz w:val="24"/>
      <w:szCs w:val="24"/>
      <w:lang w:bidi="ar-SA"/>
    </w:rPr>
  </w:style>
  <w:style w:type="character" w:customStyle="1" w:styleId="ae">
    <w:name w:val="日期 字元"/>
    <w:link w:val="ad"/>
    <w:rsid w:val="00192E60"/>
    <w:rPr>
      <w:rFonts w:eastAsia="標楷體"/>
      <w:sz w:val="24"/>
    </w:rPr>
  </w:style>
  <w:style w:type="paragraph" w:customStyle="1" w:styleId="af3">
    <w:name w:val="表頭"/>
    <w:basedOn w:val="a"/>
    <w:rsid w:val="00BB79D6"/>
    <w:pPr>
      <w:adjustRightInd w:val="0"/>
      <w:spacing w:line="360" w:lineRule="auto"/>
      <w:jc w:val="center"/>
      <w:textAlignment w:val="baseline"/>
    </w:pPr>
    <w:rPr>
      <w:rFonts w:ascii="Book Antiqua" w:eastAsia="華康中楷體" w:hAnsi="Book Antiqua"/>
      <w:spacing w:val="20"/>
      <w:kern w:val="0"/>
    </w:rPr>
  </w:style>
</w:styles>
</file>

<file path=word/webSettings.xml><?xml version="1.0" encoding="utf-8"?>
<w:webSettings xmlns:r="http://schemas.openxmlformats.org/officeDocument/2006/relationships" xmlns:w="http://schemas.openxmlformats.org/wordprocessingml/2006/main">
  <w:divs>
    <w:div w:id="741291968">
      <w:bodyDiv w:val="1"/>
      <w:marLeft w:val="0"/>
      <w:marRight w:val="0"/>
      <w:marTop w:val="0"/>
      <w:marBottom w:val="0"/>
      <w:divBdr>
        <w:top w:val="none" w:sz="0" w:space="0" w:color="auto"/>
        <w:left w:val="none" w:sz="0" w:space="0" w:color="auto"/>
        <w:bottom w:val="none" w:sz="0" w:space="0" w:color="auto"/>
        <w:right w:val="none" w:sz="0" w:space="0" w:color="auto"/>
      </w:divBdr>
    </w:div>
    <w:div w:id="883519057">
      <w:bodyDiv w:val="1"/>
      <w:marLeft w:val="0"/>
      <w:marRight w:val="0"/>
      <w:marTop w:val="0"/>
      <w:marBottom w:val="0"/>
      <w:divBdr>
        <w:top w:val="none" w:sz="0" w:space="0" w:color="auto"/>
        <w:left w:val="none" w:sz="0" w:space="0" w:color="auto"/>
        <w:bottom w:val="none" w:sz="0" w:space="0" w:color="auto"/>
        <w:right w:val="none" w:sz="0" w:space="0" w:color="auto"/>
      </w:divBdr>
    </w:div>
    <w:div w:id="1316766585">
      <w:bodyDiv w:val="1"/>
      <w:marLeft w:val="0"/>
      <w:marRight w:val="0"/>
      <w:marTop w:val="0"/>
      <w:marBottom w:val="0"/>
      <w:divBdr>
        <w:top w:val="none" w:sz="0" w:space="0" w:color="auto"/>
        <w:left w:val="none" w:sz="0" w:space="0" w:color="auto"/>
        <w:bottom w:val="none" w:sz="0" w:space="0" w:color="auto"/>
        <w:right w:val="none" w:sz="0" w:space="0" w:color="auto"/>
      </w:divBdr>
    </w:div>
    <w:div w:id="14486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png"/><Relationship Id="rId18" Type="http://schemas.openxmlformats.org/officeDocument/2006/relationships/hyperlink" Target="http://newmops.tse.com.t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AB64-8290-4D98-9C6E-ED8F9239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780</Words>
  <Characters>4448</Characters>
  <Application>Microsoft Office Word</Application>
  <DocSecurity>0</DocSecurity>
  <Lines>37</Lines>
  <Paragraphs>10</Paragraphs>
  <ScaleCrop>false</ScaleCrop>
  <Company>abc</Company>
  <LinksUpToDate>false</LinksUpToDate>
  <CharactersWithSpaces>5218</CharactersWithSpaces>
  <SharedDoc>false</SharedDoc>
  <HLinks>
    <vt:vector size="42" baseType="variant">
      <vt:variant>
        <vt:i4>6946868</vt:i4>
      </vt:variant>
      <vt:variant>
        <vt:i4>21</vt:i4>
      </vt:variant>
      <vt:variant>
        <vt:i4>0</vt:i4>
      </vt:variant>
      <vt:variant>
        <vt:i4>5</vt:i4>
      </vt:variant>
      <vt:variant>
        <vt:lpwstr>http://newmops.tse.com.tw/</vt:lpwstr>
      </vt:variant>
      <vt:variant>
        <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User</cp:lastModifiedBy>
  <cp:revision>3</cp:revision>
  <cp:lastPrinted>2011-08-04T07:44:00Z</cp:lastPrinted>
  <dcterms:created xsi:type="dcterms:W3CDTF">2016-12-12T05:26:00Z</dcterms:created>
  <dcterms:modified xsi:type="dcterms:W3CDTF">2016-12-12T06:41:00Z</dcterms:modified>
</cp:coreProperties>
</file>